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allocation: a transparent decision-analytics framework for evaluating healthcare workforce policy levers",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analytics, operations research, and decision science for healthcare. Our study sits at this intersection: it treats specialty physician workforce planning as a healthcare resource-allocation problem and uses the litigation-workforce question as a test case for a transparent, reproducible decision-analytics and policy-lever evaluation framework. The analytical contribution is diagnostic: we show how two common observational fallacies—size confounding and interpolation of sparse panel data—can be identified and removed when a proposed policy lever (malpractice-litigation risk) is evaluated against workforce outcomes, and we add cluster block-bootstrap and power diagnostics to the standard fixed-effects / equivalence-testing toolkit. To our knowledge, this is the first application of pre-specified equivalence testing and small-cluster inference diagnostics to the malpractice-litigation workforce literature. We also include a counterfactual policy-lever simulation that projects 2034 physician counts under stylised litigation-reduction and structural-incentive scenarios, making the practical decision implications of the regression results explicit.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national administrative data we use come from Japan, a setting that provides a complete, long-running test case. Using national primary data for 12 clinical specialties, we measure exposure as a size-adjusted rate (closed malpractice claims per 1,000 physicians) and estimate panel fixed-effects models with small-cluster inference, equivalence (TOST) testing, and bootstrap robustness checks. The effect of litigation risk on physician and hospital growth is statistically equivalent to a null within policy-relevant margins. We show that count-based associations disappear once specialty-size confounding and interpolation are removed, and we discuss how behavioural-economics mechanisms (saliency, loss aversion, status-quo bias) and structural incentives—notably no-fault obstetric compensation—may sustain the specialty workforce. Because these behavioural patterns arise from real-world administrative and clinical data, the study offers a policy-relevant example of how perceived risk and economic incentives interact in medical labour markets.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