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6"/>
        </w:rPr>
        <w:t>Highlights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Litigation risk is unrelated to physician or hospital decline in 12 specialties.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A decision-analytics framework removes size confounding and sparse-panel bias.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Equivalence, bootstrap, and power diagnostics support an informative null.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Behavioural-economics mechanisms and structural incentives explain the null.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Policy should target structural incentives, not litigation-avoidance messaging.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