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Litigation risk and specialty-level physician workforce in Japan, 2008-2024: a rate-based re-analysis with equivalence testing</w:t>
      </w:r>
    </w:p>
    <w:p/>
    <w:p>
      <w:pPr>
        <w:pStyle w:val="Heading2"/>
      </w:pPr>
      <w:r>
        <w:rPr>
          <w:rFonts w:ascii="Times New Roman" w:hAnsi="Times New Roman"/>
          <w:color w:val="000000"/>
        </w:rPr>
        <w:t>Abstract</w:t>
      </w:r>
    </w:p>
    <w:p>
      <w:pPr>
        <w:spacing w:line="480" w:lineRule="auto"/>
      </w:pPr>
      <w:r>
        <w:rPr>
          <w:rFonts w:ascii="Times New Roman" w:hAnsi="Times New Roman"/>
          <w:b/>
          <w:sz w:val="24"/>
        </w:rPr>
        <w:t xml:space="preserve">Introduction: </w:t>
      </w:r>
      <w:r>
        <w:rPr>
          <w:rFonts w:ascii="Times New Roman" w:hAnsi="Times New Roman"/>
          <w:b w:val="0"/>
          <w:i w:val="0"/>
          <w:sz w:val="24"/>
        </w:rPr>
        <w:t>Specialty maldistribution in Japan has prompted concern that medical safety incidents and malpractice litigation drive physicians away from high-risk specialties. We tested whether specialty-level litigation risk is associated with subsequent decline in the physician workforce and in hospitals offering each specialty.</w:t>
      </w:r>
    </w:p>
    <w:p>
      <w:pPr>
        <w:spacing w:line="480" w:lineRule="auto"/>
      </w:pPr>
      <w:r>
        <w:rPr>
          <w:rFonts w:ascii="Times New Roman" w:hAnsi="Times New Roman"/>
          <w:b/>
          <w:sz w:val="24"/>
        </w:rPr>
        <w:t xml:space="preserve">Methods: </w:t>
      </w:r>
      <w:r>
        <w:rPr>
          <w:rFonts w:ascii="Times New Roman" w:hAnsi="Times New Roman"/>
          <w:b w:val="0"/>
          <w:i w:val="0"/>
          <w:sz w:val="24"/>
        </w:rPr>
        <w:t>We assembled national primary data for 12 core clinical specialties (2008-2024): biennial physician counts (Statistics of Physicians), annual Supreme Court closed malpractice claims by specialty, and annual hospital counts by specialty (Survey of Medical Institutions). Exposure was the litigation rate (claims per 1,000 physicians), avoiding specialty-size confounding. The primary analysis used only measured biennial physician waves in a panel with specialty and wave fixed effects; the outcome was the biennial log-change in physicians (and in hospitals), regressed on the lagged litigation rate with cluster-robust standard errors. We added two one-sided tests (TOST) for equivalence to a null effect, an indicator for the Japan Obstetric Compensation System for Cerebral Palsy (JOCS-CP; from 2009), and sensitivity analyses (annual series, linear interpolation, and raw counts).</w:t>
      </w:r>
    </w:p>
    <w:p>
      <w:pPr>
        <w:spacing w:line="480" w:lineRule="auto"/>
      </w:pPr>
      <w:r>
        <w:rPr>
          <w:rFonts w:ascii="Times New Roman" w:hAnsi="Times New Roman"/>
          <w:b/>
          <w:sz w:val="24"/>
        </w:rPr>
        <w:t xml:space="preserve">Results: </w:t>
      </w:r>
      <w:r>
        <w:rPr>
          <w:rFonts w:ascii="Times New Roman" w:hAnsi="Times New Roman"/>
          <w:b w:val="0"/>
          <w:i w:val="0"/>
          <w:sz w:val="24"/>
        </w:rPr>
        <w:t>The physician workforce grew in 11 of 12 specialties over the period (general surgery was flat). The lagged litigation rate was not associated with physician growth (coefficient -0.0009 per claim/1,000 physicians; 95% CI -0.0040 to +0.0021; p=0.54) or with hospital growth (p=0.90). Equivalence testing showed the effect of a 1-SD higher litigation rate on biennial physician growth was within ±1% (TOST p=0.023); the hospital effect was within ±2% (p=0.002). Results were unchanged under annual, interpolated and raw-count sensitivity analyses. Descriptively, per-specialty correlations were predominantly positive (10/12) and none were significant, contrary to a flight-from-risk hypothesis. The reverse direction (workforce predicting later litigation) was null (p=0.85).</w:t>
      </w:r>
    </w:p>
    <w:p>
      <w:pPr>
        <w:spacing w:line="480" w:lineRule="auto"/>
      </w:pPr>
      <w:r>
        <w:rPr>
          <w:rFonts w:ascii="Times New Roman" w:hAnsi="Times New Roman"/>
          <w:b/>
          <w:sz w:val="24"/>
        </w:rPr>
        <w:t xml:space="preserve">Conclusions: </w:t>
      </w:r>
      <w:r>
        <w:rPr>
          <w:rFonts w:ascii="Times New Roman" w:hAnsi="Times New Roman"/>
          <w:b w:val="0"/>
          <w:i w:val="0"/>
          <w:sz w:val="24"/>
        </w:rPr>
        <w:t>In Japan, specialty-level malpractice-litigation risk shows no association with physician workforce or hospital decline, and the effect is statistically equivalent to null within a small margin. The intuition that physicians avoid high-litigation specialties is not supported. Earlier count-based associations are attributable to specialty-size confounding and interpolation. Structural incentives—no-fault obstetric compensation and procedure-based reimbursement—may help maintain the specialty workforce despite litigation risk.</w:t>
      </w:r>
    </w:p>
    <w:p>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Japan; health policy</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0"/>
          <w:vertAlign w:val="superscript"/>
        </w:rPr>
        <w:t>1</w:t>
      </w:r>
      <w:r>
        <w:rPr>
          <w:rFonts w:ascii="Times New Roman" w:hAnsi="Times New Roman"/>
          <w:b w:val="0"/>
          <w:i w:val="0"/>
          <w:sz w:val="24"/>
        </w:rPr>
        <w:t xml:space="preserve"> A recurring policy intuition—amplified by media coverage of adverse events—is that medical safety incidents and the threat of malpractice litigation push physicians away from high-risk specialties toward lower-risk practice.</w:t>
      </w:r>
      <w:r>
        <w:rPr>
          <w:rFonts w:ascii="Times New Roman" w:hAnsi="Times New Roman"/>
          <w:sz w:val="20"/>
          <w:vertAlign w:val="superscript"/>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including our own earlier analysis, typically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re-examined the question using rates rather than counts, using only measured physician observations, and using equivalence testing—which can provide positive evidence for the absence of a meaningful effect rather than merely failing to reject a null.</w:t>
      </w:r>
      <w:r>
        <w:rPr>
          <w:rFonts w:ascii="Times New Roman" w:hAnsi="Times New Roman"/>
          <w:sz w:val="20"/>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0"/>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sz w:val="20"/>
          <w:vertAlign w:val="superscript"/>
        </w:rPr>
        <w:t>7</w:t>
      </w:r>
      <w:r>
        <w:rPr>
          <w:rFonts w:ascii="Times New Roman" w:hAnsi="Times New Roman"/>
          <w:b w:val="0"/>
          <w:i w:val="0"/>
          <w:sz w:val="24"/>
        </w:rPr>
        <w:t xml:space="preserve"> We studied 12 core clinical specialties for which the Supreme Court reports specialty-specific litigation. Three official primary series were used: physician counts by specialty from the biennial Statistics of Physicians, Dentists and Pharmacists</w:t>
      </w:r>
      <w:r>
        <w:rPr>
          <w:rFonts w:ascii="Times New Roman" w:hAnsi="Times New Roman"/>
          <w:sz w:val="20"/>
          <w:vertAlign w:val="superscript"/>
        </w:rPr>
        <w:t>8</w:t>
      </w:r>
      <w:r>
        <w:rPr>
          <w:rFonts w:ascii="Times New Roman" w:hAnsi="Times New Roman"/>
          <w:b w:val="0"/>
          <w:i w:val="0"/>
          <w:sz w:val="24"/>
        </w:rPr>
        <w:t>; closed malpractice claims by specialty from the Supreme Court</w:t>
      </w:r>
      <w:r>
        <w:rPr>
          <w:rFonts w:ascii="Times New Roman" w:hAnsi="Times New Roman"/>
          <w:sz w:val="20"/>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sz w:val="20"/>
          <w:vertAlign w:val="superscript"/>
        </w:rPr>
        <w:t>10</w:t>
      </w:r>
      <w:r>
        <w:rPr>
          <w:rFonts w:ascii="Times New Roman" w:hAnsi="Times New Roman"/>
          <w:b w:val="0"/>
          <w:i w:val="0"/>
          <w:sz w:val="24"/>
        </w:rPr>
        <w:t>. The full extraction pipeline (with source URLs and SHA-256 checksums) is reproducible from the accompanying repository (Table 1).</w:t>
      </w:r>
    </w:p>
    <w:p>
      <w:pPr>
        <w:spacing w:before="280"/>
      </w:pPr>
      <w:r>
        <w:rPr>
          <w:rFonts w:ascii="Times New Roman" w:hAnsi="Times New Roman"/>
          <w:b/>
          <w:sz w:val="20"/>
        </w:rPr>
        <w:t>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Series</w:t>
            </w:r>
          </w:p>
        </w:tc>
        <w:tc>
          <w:tcPr>
            <w:tcW w:type="dxa" w:w="1872"/>
          </w:tcPr>
          <w:p>
            <w:r>
              <w:rPr>
                <w:rFonts w:ascii="Times New Roman" w:hAnsi="Times New Roman"/>
                <w:b/>
                <w:sz w:val="18"/>
              </w:rPr>
              <w:t>Source</w:t>
            </w:r>
          </w:p>
        </w:tc>
        <w:tc>
          <w:tcPr>
            <w:tcW w:type="dxa" w:w="1872"/>
          </w:tcPr>
          <w:p>
            <w:r>
              <w:rPr>
                <w:rFonts w:ascii="Times New Roman" w:hAnsi="Times New Roman"/>
                <w:b/>
                <w:sz w:val="18"/>
              </w:rPr>
              <w:t>Resolution</w:t>
            </w:r>
          </w:p>
        </w:tc>
        <w:tc>
          <w:tcPr>
            <w:tcW w:type="dxa" w:w="1872"/>
          </w:tcPr>
          <w:p>
            <w:r>
              <w:rPr>
                <w:rFonts w:ascii="Times New Roman" w:hAnsi="Times New Roman"/>
                <w:b/>
                <w:sz w:val="18"/>
              </w:rPr>
              <w:t>Years</w:t>
            </w:r>
          </w:p>
        </w:tc>
        <w:tc>
          <w:tcPr>
            <w:tcW w:type="dxa" w:w="1872"/>
          </w:tcPr>
          <w:p>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r>
              <w:rPr>
                <w:rFonts w:ascii="Times New Roman" w:hAnsi="Times New Roman"/>
                <w:sz w:val="18"/>
              </w:rPr>
              <w:t>MHLW Statistics of Physicians</w:t>
            </w:r>
          </w:p>
        </w:tc>
        <w:tc>
          <w:tcPr>
            <w:tcW w:type="dxa" w:w="1872"/>
          </w:tcPr>
          <w:p>
            <w:r>
              <w:rPr>
                <w:rFonts w:ascii="Times New Roman" w:hAnsi="Times New Roman"/>
                <w:sz w:val="18"/>
              </w:rPr>
              <w:t>Biennial</w:t>
            </w:r>
          </w:p>
        </w:tc>
        <w:tc>
          <w:tcPr>
            <w:tcW w:type="dxa" w:w="1872"/>
          </w:tcPr>
          <w:p>
            <w:r>
              <w:rPr>
                <w:rFonts w:ascii="Times New Roman" w:hAnsi="Times New Roman"/>
                <w:sz w:val="18"/>
              </w:rPr>
              <w:t>2004-2024</w:t>
            </w:r>
          </w:p>
        </w:tc>
        <w:tc>
          <w:tcPr>
            <w:tcW w:type="dxa" w:w="1872"/>
          </w:tcPr>
          <w:p>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r>
              <w:rPr>
                <w:rFonts w:ascii="Times New Roman" w:hAnsi="Times New Roman"/>
                <w:sz w:val="18"/>
              </w:rPr>
              <w:t>Supreme Court, by specialty</w:t>
            </w:r>
          </w:p>
        </w:tc>
        <w:tc>
          <w:tcPr>
            <w:tcW w:type="dxa" w:w="1872"/>
          </w:tcPr>
          <w:p>
            <w:r>
              <w:rPr>
                <w:rFonts w:ascii="Times New Roman" w:hAnsi="Times New Roman"/>
                <w:sz w:val="18"/>
              </w:rPr>
              <w:t>Annual</w:t>
            </w:r>
          </w:p>
        </w:tc>
        <w:tc>
          <w:tcPr>
            <w:tcW w:type="dxa" w:w="1872"/>
          </w:tcPr>
          <w:p>
            <w:r>
              <w:rPr>
                <w:rFonts w:ascii="Times New Roman" w:hAnsi="Times New Roman"/>
                <w:sz w:val="18"/>
              </w:rPr>
              <w:t>2008-2024</w:t>
            </w:r>
          </w:p>
        </w:tc>
        <w:tc>
          <w:tcPr>
            <w:tcW w:type="dxa" w:w="1872"/>
          </w:tcPr>
          <w:p>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r>
              <w:rPr>
                <w:rFonts w:ascii="Times New Roman" w:hAnsi="Times New Roman"/>
                <w:sz w:val="18"/>
              </w:rPr>
              <w:t>MHLW Survey of Medical Institutions</w:t>
            </w:r>
          </w:p>
        </w:tc>
        <w:tc>
          <w:tcPr>
            <w:tcW w:type="dxa" w:w="1872"/>
          </w:tcPr>
          <w:p>
            <w:r>
              <w:rPr>
                <w:rFonts w:ascii="Times New Roman" w:hAnsi="Times New Roman"/>
                <w:sz w:val="18"/>
              </w:rPr>
              <w:t>Annual</w:t>
            </w:r>
          </w:p>
        </w:tc>
        <w:tc>
          <w:tcPr>
            <w:tcW w:type="dxa" w:w="1872"/>
          </w:tcPr>
          <w:p>
            <w:r>
              <w:rPr>
                <w:rFonts w:ascii="Times New Roman" w:hAnsi="Times New Roman"/>
                <w:sz w:val="18"/>
              </w:rPr>
              <w:t>2008-2024</w:t>
            </w:r>
          </w:p>
        </w:tc>
        <w:tc>
          <w:tcPr>
            <w:tcW w:type="dxa" w:w="1872"/>
          </w:tcPr>
          <w:p>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r>
              <w:rPr>
                <w:rFonts w:ascii="Times New Roman" w:hAnsi="Times New Roman"/>
                <w:sz w:val="18"/>
              </w:rPr>
              <w:t>MHLW Survey (static)</w:t>
            </w:r>
          </w:p>
        </w:tc>
        <w:tc>
          <w:tcPr>
            <w:tcW w:type="dxa" w:w="1872"/>
          </w:tcPr>
          <w:p>
            <w:r>
              <w:rPr>
                <w:rFonts w:ascii="Times New Roman" w:hAnsi="Times New Roman"/>
                <w:sz w:val="18"/>
              </w:rPr>
              <w:t>Every 3 years</w:t>
            </w:r>
          </w:p>
        </w:tc>
        <w:tc>
          <w:tcPr>
            <w:tcW w:type="dxa" w:w="1872"/>
          </w:tcPr>
          <w:p>
            <w:r>
              <w:rPr>
                <w:rFonts w:ascii="Times New Roman" w:hAnsi="Times New Roman"/>
                <w:sz w:val="18"/>
              </w:rPr>
              <w:t>2008-2023</w:t>
            </w:r>
          </w:p>
        </w:tc>
        <w:tc>
          <w:tcPr>
            <w:tcW w:type="dxa" w:w="1872"/>
          </w:tcPr>
          <w:p>
            <w:r>
              <w:rPr>
                <w:rFonts w:ascii="Times New Roman" w:hAnsi="Times New Roman"/>
                <w:sz w:val="18"/>
              </w:rPr>
              <w:t>Descriptive only</w:t>
            </w:r>
          </w:p>
        </w:tc>
      </w:tr>
    </w:tbl>
    <w:p/>
    <w:p>
      <w:pPr>
        <w:spacing w:line="480" w:lineRule="auto" w:after="120"/>
      </w:pPr>
      <w:r>
        <w:rPr>
          <w:rFonts w:ascii="Times New Roman" w:hAnsi="Times New Roman"/>
          <w:b w:val="0"/>
          <w:i w:val="0"/>
          <w:sz w:val="24"/>
        </w:rPr>
        <w:t>Physician counts use the principal-specialty (主たる診療科) classification; broad categories were matched to the Supreme Court's specialty labels, and subspecialties were aggregated in code (documented in the repository).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0"/>
          <w:vertAlign w:val="superscript"/>
        </w:rPr>
        <w:t>9</w:t>
      </w:r>
    </w:p>
    <w:p>
      <w:pPr>
        <w:spacing w:line="480" w:lineRule="auto" w:after="120"/>
      </w:pPr>
      <w:r>
        <w:rPr>
          <w:rFonts w:ascii="Times New Roman" w:hAnsi="Times New Roman"/>
          <w:b w:val="0"/>
          <w:i w:val="0"/>
          <w:sz w:val="24"/>
        </w:rPr>
        <w:t>We distinguish litigation from the Medical Accident Investigation System, which began in 2015 and covers only deaths and stillbirths judged unforeseen by the hospital administrator (approximately 350 reports nationally per year); it is not a general incident-reporting system and is not used as an exposure here.</w:t>
      </w:r>
      <w:r>
        <w:rPr>
          <w:rFonts w:ascii="Times New Roman" w:hAnsi="Times New Roman"/>
          <w:sz w:val="20"/>
          <w:vertAlign w:val="superscript"/>
        </w:rPr>
        <w:t>11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sz w:val="20"/>
          <w:vertAlign w:val="superscript"/>
        </w:rPr>
        <w:t>12</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sz w:val="20"/>
          <w:vertAlign w:val="superscript"/>
        </w:rPr>
        <w:t>4-5</w:t>
      </w:r>
      <w:r>
        <w:rPr>
          <w:rFonts w:ascii="Times New Roman" w:hAnsi="Times New Roman"/>
          <w:b w:val="0"/>
          <w:i w:val="0"/>
          <w:sz w:val="24"/>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0"/>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standard errors clustered by specialty, so the inferential degrees of freedom equal the number of specialty clusters minus one and are not inflated by the interpolated observation count), and (iii) raw counts instead of rates. Because the primary analyses are confirmatory and null, we did not adjust for multiplicity and interpret the single secondary association (the JOCS-CP indicator) as exploratory. Analyses used Python (statsmodels); code and data are openly available.</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(Figure 1) varied several-fold across specialties and fell over time in 10 of 12 fields. Over the same period the physician workforce grew in 11 of 12 specialties (Figure 2; Table 2); the only exception was general surgery, which was essentially flat (-2.3% across 16 years). Exposure and workforce therefore did not move in opposite directions as a flight-from-risk account would predict.</w:t>
      </w:r>
    </w:p>
    <w:p>
      <w:pPr>
        <w:spacing w:before="280"/>
      </w:pPr>
      <w:r>
        <w:rPr>
          <w:rFonts w:ascii="Times New Roman" w:hAnsi="Times New Roman"/>
          <w:b/>
          <w:sz w:val="20"/>
        </w:rPr>
        <w:t>Figure 1. Closed malpractice claims per 1,000 physicians by specialty, 2008-2024 (rates, not counts).</w:t>
      </w:r>
    </w:p>
    <w:p>
      <w:pPr>
        <w:jc w:val="center"/>
      </w:pPr>
      <w:r>
        <w:drawing>
          <wp:inline xmlns:a="http://schemas.openxmlformats.org/drawingml/2006/main" xmlns:pic="http://schemas.openxmlformats.org/drawingml/2006/picture">
            <wp:extent cx="5303520" cy="3535680"/>
            <wp:docPr id="1" name="Picture 1"/>
            <wp:cNvGraphicFramePr>
              <a:graphicFrameLocks noChangeAspect="1"/>
            </wp:cNvGraphicFramePr>
            <a:graphic>
              <a:graphicData uri="http://schemas.openxmlformats.org/drawingml/2006/picture">
                <pic:pic>
                  <pic:nvPicPr>
                    <pic:cNvPr id="0" name="fig1_litigation_rate.png"/>
                    <pic:cNvPicPr/>
                  </pic:nvPicPr>
                  <pic:blipFill>
                    <a:blip r:embed="rId9"/>
                    <a:stretch>
                      <a:fillRect/>
                    </a:stretch>
                  </pic:blipFill>
                  <pic:spPr>
                    <a:xfrm>
                      <a:off x="0" y="0"/>
                      <a:ext cx="5303520" cy="3535680"/>
                    </a:xfrm>
                    <a:prstGeom prst="rect"/>
                  </pic:spPr>
                </pic:pic>
              </a:graphicData>
            </a:graphic>
          </wp:inline>
        </w:drawing>
      </w:r>
    </w:p>
    <w:p/>
    <w:p>
      <w:pPr>
        <w:spacing w:before="280"/>
      </w:pPr>
      <w:r>
        <w:rPr>
          <w:rFonts w:ascii="Times New Roman" w:hAnsi="Times New Roman"/>
          <w:b/>
          <w:sz w:val="20"/>
        </w:rPr>
        <w:t>Figure 2. Physician workforce by specialty, indexed to 2008 (=100).</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fig2_physician_index.png"/>
                    <pic:cNvPicPr/>
                  </pic:nvPicPr>
                  <pic:blipFill>
                    <a:blip r:embed="rId10"/>
                    <a:stretch>
                      <a:fillRect/>
                    </a:stretch>
                  </pic:blipFill>
                  <pic:spPr>
                    <a:xfrm>
                      <a:off x="0" y="0"/>
                      <a:ext cx="5303520" cy="3535680"/>
                    </a:xfrm>
                    <a:prstGeom prst="rect"/>
                  </pic:spPr>
                </pic:pic>
              </a:graphicData>
            </a:graphic>
          </wp:inline>
        </w:drawing>
      </w:r>
    </w:p>
    <w:p/>
    <w:p>
      <w:pPr>
        <w:spacing w:before="280"/>
      </w:pPr>
      <w:r>
        <w:rPr>
          <w:rFonts w:ascii="Times New Roman" w:hAnsi="Times New Roman"/>
          <w:b/>
          <w:sz w:val="20"/>
        </w:rPr>
        <w:t>Table 2.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Specialty</w:t>
            </w:r>
          </w:p>
        </w:tc>
        <w:tc>
          <w:tcPr>
            <w:tcW w:type="dxa" w:w="1337"/>
          </w:tcPr>
          <w:p>
            <w:r>
              <w:rPr>
                <w:rFonts w:ascii="Times New Roman" w:hAnsi="Times New Roman"/>
                <w:b/>
                <w:sz w:val="18"/>
              </w:rPr>
              <w:t>Physicians 2008</w:t>
            </w:r>
          </w:p>
        </w:tc>
        <w:tc>
          <w:tcPr>
            <w:tcW w:type="dxa" w:w="1337"/>
          </w:tcPr>
          <w:p>
            <w:r>
              <w:rPr>
                <w:rFonts w:ascii="Times New Roman" w:hAnsi="Times New Roman"/>
                <w:b/>
                <w:sz w:val="18"/>
              </w:rPr>
              <w:t>Physicians 2024</w:t>
            </w:r>
          </w:p>
        </w:tc>
        <w:tc>
          <w:tcPr>
            <w:tcW w:type="dxa" w:w="1337"/>
          </w:tcPr>
          <w:p>
            <w:r>
              <w:rPr>
                <w:rFonts w:ascii="Times New Roman" w:hAnsi="Times New Roman"/>
                <w:b/>
                <w:sz w:val="18"/>
              </w:rPr>
              <w:t>Lit. rate 2008</w:t>
            </w:r>
          </w:p>
        </w:tc>
        <w:tc>
          <w:tcPr>
            <w:tcW w:type="dxa" w:w="1337"/>
          </w:tcPr>
          <w:p>
            <w:r>
              <w:rPr>
                <w:rFonts w:ascii="Times New Roman" w:hAnsi="Times New Roman"/>
                <w:b/>
                <w:sz w:val="18"/>
              </w:rPr>
              <w:t>Lit. rate 2024</w:t>
            </w:r>
          </w:p>
        </w:tc>
        <w:tc>
          <w:tcPr>
            <w:tcW w:type="dxa" w:w="1337"/>
          </w:tcPr>
          <w:p>
            <w:r>
              <w:rPr>
                <w:rFonts w:ascii="Times New Roman" w:hAnsi="Times New Roman"/>
                <w:b/>
                <w:sz w:val="18"/>
              </w:rPr>
              <w:t>Hospitals 2008</w:t>
            </w:r>
          </w:p>
        </w:tc>
        <w:tc>
          <w:tcPr>
            <w:tcW w:type="dxa" w:w="1337"/>
          </w:tcPr>
          <w:p>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r>
              <w:rPr>
                <w:rFonts w:ascii="Times New Roman" w:hAnsi="Times New Roman"/>
                <w:sz w:val="18"/>
              </w:rPr>
              <w:t>102388</w:t>
            </w:r>
          </w:p>
        </w:tc>
        <w:tc>
          <w:tcPr>
            <w:tcW w:type="dxa" w:w="1337"/>
          </w:tcPr>
          <w:p>
            <w:r>
              <w:rPr>
                <w:rFonts w:ascii="Times New Roman" w:hAnsi="Times New Roman"/>
                <w:sz w:val="18"/>
              </w:rPr>
              <w:t>124010</w:t>
            </w:r>
          </w:p>
        </w:tc>
        <w:tc>
          <w:tcPr>
            <w:tcW w:type="dxa" w:w="1337"/>
          </w:tcPr>
          <w:p>
            <w:r>
              <w:rPr>
                <w:rFonts w:ascii="Times New Roman" w:hAnsi="Times New Roman"/>
                <w:sz w:val="18"/>
              </w:rPr>
              <w:t>2.23</w:t>
            </w:r>
          </w:p>
        </w:tc>
        <w:tc>
          <w:tcPr>
            <w:tcW w:type="dxa" w:w="1337"/>
          </w:tcPr>
          <w:p>
            <w:r>
              <w:rPr>
                <w:rFonts w:ascii="Times New Roman" w:hAnsi="Times New Roman"/>
                <w:sz w:val="18"/>
              </w:rPr>
              <w:t>1.48</w:t>
            </w:r>
          </w:p>
        </w:tc>
        <w:tc>
          <w:tcPr>
            <w:tcW w:type="dxa" w:w="1337"/>
          </w:tcPr>
          <w:p>
            <w:r>
              <w:rPr>
                <w:rFonts w:ascii="Times New Roman" w:hAnsi="Times New Roman"/>
                <w:sz w:val="18"/>
              </w:rPr>
              <w:t>7725</w:t>
            </w:r>
          </w:p>
        </w:tc>
        <w:tc>
          <w:tcPr>
            <w:tcW w:type="dxa" w:w="1337"/>
          </w:tcPr>
          <w:p>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r>
              <w:rPr>
                <w:rFonts w:ascii="Times New Roman" w:hAnsi="Times New Roman"/>
                <w:sz w:val="18"/>
              </w:rPr>
              <w:t>27525</w:t>
            </w:r>
          </w:p>
        </w:tc>
        <w:tc>
          <w:tcPr>
            <w:tcW w:type="dxa" w:w="1337"/>
          </w:tcPr>
          <w:p>
            <w:r>
              <w:rPr>
                <w:rFonts w:ascii="Times New Roman" w:hAnsi="Times New Roman"/>
                <w:sz w:val="18"/>
              </w:rPr>
              <w:t>26885</w:t>
            </w:r>
          </w:p>
        </w:tc>
        <w:tc>
          <w:tcPr>
            <w:tcW w:type="dxa" w:w="1337"/>
          </w:tcPr>
          <w:p>
            <w:r>
              <w:rPr>
                <w:rFonts w:ascii="Times New Roman" w:hAnsi="Times New Roman"/>
                <w:sz w:val="18"/>
              </w:rPr>
              <w:t>6.54</w:t>
            </w:r>
          </w:p>
        </w:tc>
        <w:tc>
          <w:tcPr>
            <w:tcW w:type="dxa" w:w="1337"/>
          </w:tcPr>
          <w:p>
            <w:r>
              <w:rPr>
                <w:rFonts w:ascii="Times New Roman" w:hAnsi="Times New Roman"/>
                <w:sz w:val="18"/>
              </w:rPr>
              <w:t>2.83</w:t>
            </w:r>
          </w:p>
        </w:tc>
        <w:tc>
          <w:tcPr>
            <w:tcW w:type="dxa" w:w="1337"/>
          </w:tcPr>
          <w:p>
            <w:r>
              <w:rPr>
                <w:rFonts w:ascii="Times New Roman" w:hAnsi="Times New Roman"/>
                <w:sz w:val="18"/>
              </w:rPr>
              <w:t>4994</w:t>
            </w:r>
          </w:p>
        </w:tc>
        <w:tc>
          <w:tcPr>
            <w:tcW w:type="dxa" w:w="1337"/>
          </w:tcPr>
          <w:p>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r>
              <w:rPr>
                <w:rFonts w:ascii="Times New Roman" w:hAnsi="Times New Roman"/>
                <w:sz w:val="18"/>
              </w:rPr>
              <w:t>19273</w:t>
            </w:r>
          </w:p>
        </w:tc>
        <w:tc>
          <w:tcPr>
            <w:tcW w:type="dxa" w:w="1337"/>
          </w:tcPr>
          <w:p>
            <w:r>
              <w:rPr>
                <w:rFonts w:ascii="Times New Roman" w:hAnsi="Times New Roman"/>
                <w:sz w:val="18"/>
              </w:rPr>
              <w:t>22630</w:t>
            </w:r>
          </w:p>
        </w:tc>
        <w:tc>
          <w:tcPr>
            <w:tcW w:type="dxa" w:w="1337"/>
          </w:tcPr>
          <w:p>
            <w:r>
              <w:rPr>
                <w:rFonts w:ascii="Times New Roman" w:hAnsi="Times New Roman"/>
                <w:sz w:val="18"/>
              </w:rPr>
              <w:t>5.60</w:t>
            </w:r>
          </w:p>
        </w:tc>
        <w:tc>
          <w:tcPr>
            <w:tcW w:type="dxa" w:w="1337"/>
          </w:tcPr>
          <w:p>
            <w:r>
              <w:rPr>
                <w:rFonts w:ascii="Times New Roman" w:hAnsi="Times New Roman"/>
                <w:sz w:val="18"/>
              </w:rPr>
              <w:t>2.87</w:t>
            </w:r>
          </w:p>
        </w:tc>
        <w:tc>
          <w:tcPr>
            <w:tcW w:type="dxa" w:w="1337"/>
          </w:tcPr>
          <w:p>
            <w:r>
              <w:rPr>
                <w:rFonts w:ascii="Times New Roman" w:hAnsi="Times New Roman"/>
                <w:sz w:val="18"/>
              </w:rPr>
              <w:t>5094</w:t>
            </w:r>
          </w:p>
        </w:tc>
        <w:tc>
          <w:tcPr>
            <w:tcW w:type="dxa" w:w="1337"/>
          </w:tcPr>
          <w:p>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r>
              <w:rPr>
                <w:rFonts w:ascii="Times New Roman" w:hAnsi="Times New Roman"/>
                <w:sz w:val="18"/>
              </w:rPr>
              <w:t>2520</w:t>
            </w:r>
          </w:p>
        </w:tc>
        <w:tc>
          <w:tcPr>
            <w:tcW w:type="dxa" w:w="1337"/>
          </w:tcPr>
          <w:p>
            <w:r>
              <w:rPr>
                <w:rFonts w:ascii="Times New Roman" w:hAnsi="Times New Roman"/>
                <w:sz w:val="18"/>
              </w:rPr>
              <w:t>5074</w:t>
            </w:r>
          </w:p>
        </w:tc>
        <w:tc>
          <w:tcPr>
            <w:tcW w:type="dxa" w:w="1337"/>
          </w:tcPr>
          <w:p>
            <w:r>
              <w:rPr>
                <w:rFonts w:ascii="Times New Roman" w:hAnsi="Times New Roman"/>
                <w:sz w:val="18"/>
              </w:rPr>
              <w:t>7.14</w:t>
            </w:r>
          </w:p>
        </w:tc>
        <w:tc>
          <w:tcPr>
            <w:tcW w:type="dxa" w:w="1337"/>
          </w:tcPr>
          <w:p>
            <w:r>
              <w:rPr>
                <w:rFonts w:ascii="Times New Roman" w:hAnsi="Times New Roman"/>
                <w:sz w:val="18"/>
              </w:rPr>
              <w:t>8.28</w:t>
            </w:r>
          </w:p>
        </w:tc>
        <w:tc>
          <w:tcPr>
            <w:tcW w:type="dxa" w:w="1337"/>
          </w:tcPr>
          <w:p>
            <w:r>
              <w:rPr>
                <w:rFonts w:ascii="Times New Roman" w:hAnsi="Times New Roman"/>
                <w:sz w:val="18"/>
              </w:rPr>
              <w:t>1090</w:t>
            </w:r>
          </w:p>
        </w:tc>
        <w:tc>
          <w:tcPr>
            <w:tcW w:type="dxa" w:w="1337"/>
          </w:tcPr>
          <w:p>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r>
              <w:rPr>
                <w:rFonts w:ascii="Times New Roman" w:hAnsi="Times New Roman"/>
                <w:sz w:val="18"/>
              </w:rPr>
              <w:t>11961</w:t>
            </w:r>
          </w:p>
        </w:tc>
        <w:tc>
          <w:tcPr>
            <w:tcW w:type="dxa" w:w="1337"/>
          </w:tcPr>
          <w:p>
            <w:r>
              <w:rPr>
                <w:rFonts w:ascii="Times New Roman" w:hAnsi="Times New Roman"/>
                <w:sz w:val="18"/>
              </w:rPr>
              <w:t>13908</w:t>
            </w:r>
          </w:p>
        </w:tc>
        <w:tc>
          <w:tcPr>
            <w:tcW w:type="dxa" w:w="1337"/>
          </w:tcPr>
          <w:p>
            <w:r>
              <w:rPr>
                <w:rFonts w:ascii="Times New Roman" w:hAnsi="Times New Roman"/>
                <w:sz w:val="18"/>
              </w:rPr>
              <w:t>8.28</w:t>
            </w:r>
          </w:p>
        </w:tc>
        <w:tc>
          <w:tcPr>
            <w:tcW w:type="dxa" w:w="1337"/>
          </w:tcPr>
          <w:p>
            <w:r>
              <w:rPr>
                <w:rFonts w:ascii="Times New Roman" w:hAnsi="Times New Roman"/>
                <w:sz w:val="18"/>
              </w:rPr>
              <w:t>2.23</w:t>
            </w:r>
          </w:p>
        </w:tc>
        <w:tc>
          <w:tcPr>
            <w:tcW w:type="dxa" w:w="1337"/>
          </w:tcPr>
          <w:p>
            <w:r>
              <w:rPr>
                <w:rFonts w:ascii="Times New Roman" w:hAnsi="Times New Roman"/>
                <w:sz w:val="18"/>
              </w:rPr>
              <w:t>1319</w:t>
            </w:r>
          </w:p>
        </w:tc>
        <w:tc>
          <w:tcPr>
            <w:tcW w:type="dxa" w:w="1337"/>
          </w:tcPr>
          <w:p>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r>
              <w:rPr>
                <w:rFonts w:ascii="Times New Roman" w:hAnsi="Times New Roman"/>
                <w:sz w:val="18"/>
              </w:rPr>
              <w:t>15236</w:t>
            </w:r>
          </w:p>
        </w:tc>
        <w:tc>
          <w:tcPr>
            <w:tcW w:type="dxa" w:w="1337"/>
          </w:tcPr>
          <w:p>
            <w:r>
              <w:rPr>
                <w:rFonts w:ascii="Times New Roman" w:hAnsi="Times New Roman"/>
                <w:sz w:val="18"/>
              </w:rPr>
              <w:t>18009</w:t>
            </w:r>
          </w:p>
        </w:tc>
        <w:tc>
          <w:tcPr>
            <w:tcW w:type="dxa" w:w="1337"/>
          </w:tcPr>
          <w:p>
            <w:r>
              <w:rPr>
                <w:rFonts w:ascii="Times New Roman" w:hAnsi="Times New Roman"/>
                <w:sz w:val="18"/>
              </w:rPr>
              <w:t>1.44</w:t>
            </w:r>
          </w:p>
        </w:tc>
        <w:tc>
          <w:tcPr>
            <w:tcW w:type="dxa" w:w="1337"/>
          </w:tcPr>
          <w:p>
            <w:r>
              <w:rPr>
                <w:rFonts w:ascii="Times New Roman" w:hAnsi="Times New Roman"/>
                <w:sz w:val="18"/>
              </w:rPr>
              <w:t>0.44</w:t>
            </w:r>
          </w:p>
        </w:tc>
        <w:tc>
          <w:tcPr>
            <w:tcW w:type="dxa" w:w="1337"/>
          </w:tcPr>
          <w:p>
            <w:r>
              <w:rPr>
                <w:rFonts w:ascii="Times New Roman" w:hAnsi="Times New Roman"/>
                <w:sz w:val="18"/>
              </w:rPr>
              <w:t>2932</w:t>
            </w:r>
          </w:p>
        </w:tc>
        <w:tc>
          <w:tcPr>
            <w:tcW w:type="dxa" w:w="1337"/>
          </w:tcPr>
          <w:p>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r>
              <w:rPr>
                <w:rFonts w:ascii="Times New Roman" w:hAnsi="Times New Roman"/>
                <w:sz w:val="18"/>
              </w:rPr>
              <w:t>13534</w:t>
            </w:r>
          </w:p>
        </w:tc>
        <w:tc>
          <w:tcPr>
            <w:tcW w:type="dxa" w:w="1337"/>
          </w:tcPr>
          <w:p>
            <w:r>
              <w:rPr>
                <w:rFonts w:ascii="Times New Roman" w:hAnsi="Times New Roman"/>
                <w:sz w:val="18"/>
              </w:rPr>
              <w:t>17259</w:t>
            </w:r>
          </w:p>
        </w:tc>
        <w:tc>
          <w:tcPr>
            <w:tcW w:type="dxa" w:w="1337"/>
          </w:tcPr>
          <w:p>
            <w:r>
              <w:rPr>
                <w:rFonts w:ascii="Times New Roman" w:hAnsi="Times New Roman"/>
                <w:sz w:val="18"/>
              </w:rPr>
              <w:t>2.22</w:t>
            </w:r>
          </w:p>
        </w:tc>
        <w:tc>
          <w:tcPr>
            <w:tcW w:type="dxa" w:w="1337"/>
          </w:tcPr>
          <w:p>
            <w:r>
              <w:rPr>
                <w:rFonts w:ascii="Times New Roman" w:hAnsi="Times New Roman"/>
                <w:sz w:val="18"/>
              </w:rPr>
              <w:t>1.80</w:t>
            </w:r>
          </w:p>
        </w:tc>
        <w:tc>
          <w:tcPr>
            <w:tcW w:type="dxa" w:w="1337"/>
          </w:tcPr>
          <w:p>
            <w:r>
              <w:rPr>
                <w:rFonts w:ascii="Times New Roman" w:hAnsi="Times New Roman"/>
                <w:sz w:val="18"/>
              </w:rPr>
              <w:t>2618</w:t>
            </w:r>
          </w:p>
        </w:tc>
        <w:tc>
          <w:tcPr>
            <w:tcW w:type="dxa" w:w="1337"/>
          </w:tcPr>
          <w:p>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r>
              <w:rPr>
                <w:rFonts w:ascii="Times New Roman" w:hAnsi="Times New Roman"/>
                <w:sz w:val="18"/>
              </w:rPr>
              <w:t>12627</w:t>
            </w:r>
          </w:p>
        </w:tc>
        <w:tc>
          <w:tcPr>
            <w:tcW w:type="dxa" w:w="1337"/>
          </w:tcPr>
          <w:p>
            <w:r>
              <w:rPr>
                <w:rFonts w:ascii="Times New Roman" w:hAnsi="Times New Roman"/>
                <w:sz w:val="18"/>
              </w:rPr>
              <w:t>13436</w:t>
            </w:r>
          </w:p>
        </w:tc>
        <w:tc>
          <w:tcPr>
            <w:tcW w:type="dxa" w:w="1337"/>
          </w:tcPr>
          <w:p>
            <w:r>
              <w:rPr>
                <w:rFonts w:ascii="Times New Roman" w:hAnsi="Times New Roman"/>
                <w:sz w:val="18"/>
              </w:rPr>
              <w:t>2.14</w:t>
            </w:r>
          </w:p>
        </w:tc>
        <w:tc>
          <w:tcPr>
            <w:tcW w:type="dxa" w:w="1337"/>
          </w:tcPr>
          <w:p>
            <w:r>
              <w:rPr>
                <w:rFonts w:ascii="Times New Roman" w:hAnsi="Times New Roman"/>
                <w:sz w:val="18"/>
              </w:rPr>
              <w:t>1.04</w:t>
            </w:r>
          </w:p>
        </w:tc>
        <w:tc>
          <w:tcPr>
            <w:tcW w:type="dxa" w:w="1337"/>
          </w:tcPr>
          <w:p>
            <w:r>
              <w:rPr>
                <w:rFonts w:ascii="Times New Roman" w:hAnsi="Times New Roman"/>
                <w:sz w:val="18"/>
              </w:rPr>
              <w:t>2501</w:t>
            </w:r>
          </w:p>
        </w:tc>
        <w:tc>
          <w:tcPr>
            <w:tcW w:type="dxa" w:w="1337"/>
          </w:tcPr>
          <w:p>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r>
              <w:rPr>
                <w:rFonts w:ascii="Times New Roman" w:hAnsi="Times New Roman"/>
                <w:sz w:val="18"/>
              </w:rPr>
              <w:t>8936</w:t>
            </w:r>
          </w:p>
        </w:tc>
        <w:tc>
          <w:tcPr>
            <w:tcW w:type="dxa" w:w="1337"/>
          </w:tcPr>
          <w:p>
            <w:r>
              <w:rPr>
                <w:rFonts w:ascii="Times New Roman" w:hAnsi="Times New Roman"/>
                <w:sz w:val="18"/>
              </w:rPr>
              <w:t>9330</w:t>
            </w:r>
          </w:p>
        </w:tc>
        <w:tc>
          <w:tcPr>
            <w:tcW w:type="dxa" w:w="1337"/>
          </w:tcPr>
          <w:p>
            <w:r>
              <w:rPr>
                <w:rFonts w:ascii="Times New Roman" w:hAnsi="Times New Roman"/>
                <w:sz w:val="18"/>
              </w:rPr>
              <w:t>2.13</w:t>
            </w:r>
          </w:p>
        </w:tc>
        <w:tc>
          <w:tcPr>
            <w:tcW w:type="dxa" w:w="1337"/>
          </w:tcPr>
          <w:p>
            <w:r>
              <w:rPr>
                <w:rFonts w:ascii="Times New Roman" w:hAnsi="Times New Roman"/>
                <w:sz w:val="18"/>
              </w:rPr>
              <w:t>1.39</w:t>
            </w:r>
          </w:p>
        </w:tc>
        <w:tc>
          <w:tcPr>
            <w:tcW w:type="dxa" w:w="1337"/>
          </w:tcPr>
          <w:p>
            <w:r>
              <w:rPr>
                <w:rFonts w:ascii="Times New Roman" w:hAnsi="Times New Roman"/>
                <w:sz w:val="18"/>
              </w:rPr>
              <w:t>2039</w:t>
            </w:r>
          </w:p>
        </w:tc>
        <w:tc>
          <w:tcPr>
            <w:tcW w:type="dxa" w:w="1337"/>
          </w:tcPr>
          <w:p>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r>
              <w:rPr>
                <w:rFonts w:ascii="Times New Roman" w:hAnsi="Times New Roman"/>
                <w:sz w:val="18"/>
              </w:rPr>
              <w:t>6324</w:t>
            </w:r>
          </w:p>
        </w:tc>
        <w:tc>
          <w:tcPr>
            <w:tcW w:type="dxa" w:w="1337"/>
          </w:tcPr>
          <w:p>
            <w:r>
              <w:rPr>
                <w:rFonts w:ascii="Times New Roman" w:hAnsi="Times New Roman"/>
                <w:sz w:val="18"/>
              </w:rPr>
              <w:t>8069</w:t>
            </w:r>
          </w:p>
        </w:tc>
        <w:tc>
          <w:tcPr>
            <w:tcW w:type="dxa" w:w="1337"/>
          </w:tcPr>
          <w:p>
            <w:r>
              <w:rPr>
                <w:rFonts w:ascii="Times New Roman" w:hAnsi="Times New Roman"/>
                <w:sz w:val="18"/>
              </w:rPr>
              <w:t>2.85</w:t>
            </w:r>
          </w:p>
        </w:tc>
        <w:tc>
          <w:tcPr>
            <w:tcW w:type="dxa" w:w="1337"/>
          </w:tcPr>
          <w:p>
            <w:r>
              <w:rPr>
                <w:rFonts w:ascii="Times New Roman" w:hAnsi="Times New Roman"/>
                <w:sz w:val="18"/>
              </w:rPr>
              <w:t>2.11</w:t>
            </w:r>
          </w:p>
        </w:tc>
        <w:tc>
          <w:tcPr>
            <w:tcW w:type="dxa" w:w="1337"/>
          </w:tcPr>
          <w:p>
            <w:r>
              <w:rPr>
                <w:rFonts w:ascii="Times New Roman" w:hAnsi="Times New Roman"/>
                <w:sz w:val="18"/>
              </w:rPr>
              <w:t>2799</w:t>
            </w:r>
          </w:p>
        </w:tc>
        <w:tc>
          <w:tcPr>
            <w:tcW w:type="dxa" w:w="1337"/>
          </w:tcPr>
          <w:p>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r>
              <w:rPr>
                <w:rFonts w:ascii="Times New Roman" w:hAnsi="Times New Roman"/>
                <w:sz w:val="18"/>
              </w:rPr>
              <w:t>8214</w:t>
            </w:r>
          </w:p>
        </w:tc>
        <w:tc>
          <w:tcPr>
            <w:tcW w:type="dxa" w:w="1337"/>
          </w:tcPr>
          <w:p>
            <w:r>
              <w:rPr>
                <w:rFonts w:ascii="Times New Roman" w:hAnsi="Times New Roman"/>
                <w:sz w:val="18"/>
              </w:rPr>
              <w:t>10043</w:t>
            </w:r>
          </w:p>
        </w:tc>
        <w:tc>
          <w:tcPr>
            <w:tcW w:type="dxa" w:w="1337"/>
          </w:tcPr>
          <w:p>
            <w:r>
              <w:rPr>
                <w:rFonts w:ascii="Times New Roman" w:hAnsi="Times New Roman"/>
                <w:sz w:val="18"/>
              </w:rPr>
              <w:t>1.10</w:t>
            </w:r>
          </w:p>
        </w:tc>
        <w:tc>
          <w:tcPr>
            <w:tcW w:type="dxa" w:w="1337"/>
          </w:tcPr>
          <w:p>
            <w:r>
              <w:rPr>
                <w:rFonts w:ascii="Times New Roman" w:hAnsi="Times New Roman"/>
                <w:sz w:val="18"/>
              </w:rPr>
              <w:t>1.39</w:t>
            </w:r>
          </w:p>
        </w:tc>
        <w:tc>
          <w:tcPr>
            <w:tcW w:type="dxa" w:w="1337"/>
          </w:tcPr>
          <w:p>
            <w:r>
              <w:rPr>
                <w:rFonts w:ascii="Times New Roman" w:hAnsi="Times New Roman"/>
                <w:sz w:val="18"/>
              </w:rPr>
              <w:t>3040</w:t>
            </w:r>
          </w:p>
        </w:tc>
        <w:tc>
          <w:tcPr>
            <w:tcW w:type="dxa" w:w="1337"/>
          </w:tcPr>
          <w:p>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r>
              <w:rPr>
                <w:rFonts w:ascii="Times New Roman" w:hAnsi="Times New Roman"/>
                <w:sz w:val="18"/>
              </w:rPr>
              <w:t>7067</w:t>
            </w:r>
          </w:p>
        </w:tc>
        <w:tc>
          <w:tcPr>
            <w:tcW w:type="dxa" w:w="1337"/>
          </w:tcPr>
          <w:p>
            <w:r>
              <w:rPr>
                <w:rFonts w:ascii="Times New Roman" w:hAnsi="Times New Roman"/>
                <w:sz w:val="18"/>
              </w:rPr>
              <w:t>10628</w:t>
            </w:r>
          </w:p>
        </w:tc>
        <w:tc>
          <w:tcPr>
            <w:tcW w:type="dxa" w:w="1337"/>
          </w:tcPr>
          <w:p>
            <w:r>
              <w:rPr>
                <w:rFonts w:ascii="Times New Roman" w:hAnsi="Times New Roman"/>
                <w:sz w:val="18"/>
              </w:rPr>
              <w:t>1.13</w:t>
            </w:r>
          </w:p>
        </w:tc>
        <w:tc>
          <w:tcPr>
            <w:tcW w:type="dxa" w:w="1337"/>
          </w:tcPr>
          <w:p>
            <w:r>
              <w:rPr>
                <w:rFonts w:ascii="Times New Roman" w:hAnsi="Times New Roman"/>
                <w:sz w:val="18"/>
              </w:rPr>
              <w:t>0.38</w:t>
            </w:r>
          </w:p>
        </w:tc>
        <w:tc>
          <w:tcPr>
            <w:tcW w:type="dxa" w:w="1337"/>
          </w:tcPr>
          <w:p>
            <w:r>
              <w:rPr>
                <w:rFonts w:ascii="Times New Roman" w:hAnsi="Times New Roman"/>
                <w:sz w:val="18"/>
              </w:rPr>
              <w:t>2525</w:t>
            </w:r>
          </w:p>
        </w:tc>
        <w:tc>
          <w:tcPr>
            <w:tcW w:type="dxa" w:w="1337"/>
          </w:tcPr>
          <w:p>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-0.0040 to +0.0021; p=0.54; n=96) or with hospital growth (coefficient +0.0003; p=0.90). Equivalence testing (Figure 3; Table 3)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w:t>
      </w:r>
    </w:p>
    <w:p>
      <w:pPr>
        <w:spacing w:before="280"/>
      </w:pPr>
      <w:r>
        <w:rPr>
          <w:rFonts w:ascii="Times New Roman" w:hAnsi="Times New Roman"/>
          <w:b/>
          <w:sz w:val="20"/>
        </w:rPr>
        <w:t>Figure 3.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3" name="Picture 3"/>
            <wp:cNvGraphicFramePr>
              <a:graphicFrameLocks noChangeAspect="1"/>
            </wp:cNvGraphicFramePr>
            <a:graphic>
              <a:graphicData uri="http://schemas.openxmlformats.org/drawingml/2006/picture">
                <pic:pic>
                  <pic:nvPicPr>
                    <pic:cNvPr id="0" name="fig3_equivalence.png"/>
                    <pic:cNvPicPr/>
                  </pic:nvPicPr>
                  <pic:blipFill>
                    <a:blip r:embed="rId11"/>
                    <a:stretch>
                      <a:fillRect/>
                    </a:stretch>
                  </pic:blipFill>
                  <pic:spPr>
                    <a:xfrm>
                      <a:off x="0" y="0"/>
                      <a:ext cx="5303520" cy="2357120"/>
                    </a:xfrm>
                    <a:prstGeom prst="rect"/>
                  </pic:spPr>
                </pic:pic>
              </a:graphicData>
            </a:graphic>
          </wp:inline>
        </w:drawing>
      </w:r>
    </w:p>
    <w:p/>
    <w:p>
      <w:pPr>
        <w:spacing w:before="280"/>
      </w:pPr>
      <w:r>
        <w:rPr>
          <w:rFonts w:ascii="Times New Roman" w:hAnsi="Times New Roman"/>
          <w:b/>
          <w:sz w:val="20"/>
        </w:rPr>
        <w:t>Table 3.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Model</w:t>
            </w:r>
          </w:p>
        </w:tc>
        <w:tc>
          <w:tcPr>
            <w:tcW w:type="dxa" w:w="1872"/>
          </w:tcPr>
          <w:p>
            <w:r>
              <w:rPr>
                <w:rFonts w:ascii="Times New Roman" w:hAnsi="Times New Roman"/>
                <w:b/>
                <w:sz w:val="18"/>
              </w:rPr>
              <w:t>Coefficient</w:t>
            </w:r>
          </w:p>
        </w:tc>
        <w:tc>
          <w:tcPr>
            <w:tcW w:type="dxa" w:w="1872"/>
          </w:tcPr>
          <w:p>
            <w:r>
              <w:rPr>
                <w:rFonts w:ascii="Times New Roman" w:hAnsi="Times New Roman"/>
                <w:b/>
                <w:sz w:val="18"/>
              </w:rPr>
              <w:t>95% CI</w:t>
            </w:r>
          </w:p>
        </w:tc>
        <w:tc>
          <w:tcPr>
            <w:tcW w:type="dxa" w:w="1872"/>
          </w:tcPr>
          <w:p>
            <w:r>
              <w:rPr>
                <w:rFonts w:ascii="Times New Roman" w:hAnsi="Times New Roman"/>
                <w:b/>
                <w:sz w:val="18"/>
              </w:rPr>
              <w:t>p</w:t>
            </w:r>
          </w:p>
        </w:tc>
        <w:tc>
          <w:tcPr>
            <w:tcW w:type="dxa" w:w="1872"/>
          </w:tcPr>
          <w:p>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r>
              <w:rPr>
                <w:rFonts w:ascii="Times New Roman" w:hAnsi="Times New Roman"/>
                <w:sz w:val="18"/>
              </w:rPr>
              <w:t>-0.0009</w:t>
            </w:r>
          </w:p>
        </w:tc>
        <w:tc>
          <w:tcPr>
            <w:tcW w:type="dxa" w:w="1872"/>
          </w:tcPr>
          <w:p>
            <w:r>
              <w:rPr>
                <w:rFonts w:ascii="Times New Roman" w:hAnsi="Times New Roman"/>
                <w:sz w:val="18"/>
              </w:rPr>
              <w:t>-0.0040, +0.0021</w:t>
            </w:r>
          </w:p>
        </w:tc>
        <w:tc>
          <w:tcPr>
            <w:tcW w:type="dxa" w:w="1872"/>
          </w:tcPr>
          <w:p>
            <w:r>
              <w:rPr>
                <w:rFonts w:ascii="Times New Roman" w:hAnsi="Times New Roman"/>
                <w:sz w:val="18"/>
              </w:rPr>
              <w:t>0.54</w:t>
            </w:r>
          </w:p>
        </w:tc>
        <w:tc>
          <w:tcPr>
            <w:tcW w:type="dxa" w:w="1872"/>
          </w:tcPr>
          <w:p>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r>
              <w:rPr>
                <w:rFonts w:ascii="Times New Roman" w:hAnsi="Times New Roman"/>
                <w:sz w:val="18"/>
              </w:rPr>
              <w:t>+0.0003</w:t>
            </w:r>
          </w:p>
        </w:tc>
        <w:tc>
          <w:tcPr>
            <w:tcW w:type="dxa" w:w="1872"/>
          </w:tcPr>
          <w:p>
            <w:r>
              <w:rPr>
                <w:rFonts w:ascii="Times New Roman" w:hAnsi="Times New Roman"/>
                <w:sz w:val="18"/>
              </w:rPr>
              <w:t>-0.0044, +0.0050</w:t>
            </w:r>
          </w:p>
        </w:tc>
        <w:tc>
          <w:tcPr>
            <w:tcW w:type="dxa" w:w="1872"/>
          </w:tcPr>
          <w:p>
            <w:r>
              <w:rPr>
                <w:rFonts w:ascii="Times New Roman" w:hAnsi="Times New Roman"/>
                <w:sz w:val="18"/>
              </w:rPr>
              <w:t>0.90</w:t>
            </w:r>
          </w:p>
        </w:tc>
        <w:tc>
          <w:tcPr>
            <w:tcW w:type="dxa" w:w="1872"/>
          </w:tcPr>
          <w:p>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r>
              <w:rPr>
                <w:rFonts w:ascii="Times New Roman" w:hAnsi="Times New Roman"/>
                <w:sz w:val="18"/>
              </w:rPr>
              <w:t>+0.0002</w:t>
            </w:r>
          </w:p>
        </w:tc>
        <w:tc>
          <w:tcPr>
            <w:tcW w:type="dxa" w:w="1872"/>
          </w:tcPr>
          <w:p>
            <w:r>
              <w:rPr>
                <w:rFonts w:ascii="Times New Roman" w:hAnsi="Times New Roman"/>
                <w:sz w:val="18"/>
              </w:rPr>
              <w:t>—</w:t>
            </w:r>
          </w:p>
        </w:tc>
        <w:tc>
          <w:tcPr>
            <w:tcW w:type="dxa" w:w="1872"/>
          </w:tcPr>
          <w:p>
            <w:r>
              <w:rPr>
                <w:rFonts w:ascii="Times New Roman" w:hAnsi="Times New Roman"/>
                <w:sz w:val="18"/>
              </w:rPr>
              <w:t>0.49</w:t>
            </w:r>
          </w:p>
        </w:tc>
        <w:tc>
          <w:tcPr>
            <w:tcW w:type="dxa" w:w="1872"/>
          </w:tcPr>
          <w:p>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r>
              <w:rPr>
                <w:rFonts w:ascii="Times New Roman" w:hAnsi="Times New Roman"/>
                <w:sz w:val="18"/>
              </w:rPr>
              <w:t>+0.0000</w:t>
            </w:r>
          </w:p>
        </w:tc>
        <w:tc>
          <w:tcPr>
            <w:tcW w:type="dxa" w:w="1872"/>
          </w:tcPr>
          <w:p>
            <w:r>
              <w:rPr>
                <w:rFonts w:ascii="Times New Roman" w:hAnsi="Times New Roman"/>
                <w:sz w:val="18"/>
              </w:rPr>
              <w:t>—</w:t>
            </w:r>
          </w:p>
        </w:tc>
        <w:tc>
          <w:tcPr>
            <w:tcW w:type="dxa" w:w="1872"/>
          </w:tcPr>
          <w:p>
            <w:r>
              <w:rPr>
                <w:rFonts w:ascii="Times New Roman" w:hAnsi="Times New Roman"/>
                <w:sz w:val="18"/>
              </w:rPr>
              <w:t>0.99</w:t>
            </w:r>
          </w:p>
        </w:tc>
        <w:tc>
          <w:tcPr>
            <w:tcW w:type="dxa" w:w="1872"/>
          </w:tcPr>
          <w:p>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r>
              <w:rPr>
                <w:rFonts w:ascii="Times New Roman" w:hAnsi="Times New Roman"/>
                <w:sz w:val="18"/>
              </w:rPr>
              <w:t>-0.0010</w:t>
            </w:r>
          </w:p>
        </w:tc>
        <w:tc>
          <w:tcPr>
            <w:tcW w:type="dxa" w:w="1872"/>
          </w:tcPr>
          <w:p>
            <w:r>
              <w:rPr>
                <w:rFonts w:ascii="Times New Roman" w:hAnsi="Times New Roman"/>
                <w:sz w:val="18"/>
              </w:rPr>
              <w:t>—</w:t>
            </w:r>
          </w:p>
        </w:tc>
        <w:tc>
          <w:tcPr>
            <w:tcW w:type="dxa" w:w="1872"/>
          </w:tcPr>
          <w:p>
            <w:r>
              <w:rPr>
                <w:rFonts w:ascii="Times New Roman" w:hAnsi="Times New Roman"/>
                <w:sz w:val="18"/>
              </w:rPr>
              <w:t>0.37</w:t>
            </w:r>
          </w:p>
        </w:tc>
        <w:tc>
          <w:tcPr>
            <w:tcW w:type="dxa" w:w="1872"/>
          </w:tcPr>
          <w:p>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r>
              <w:rPr>
                <w:rFonts w:ascii="Times New Roman" w:hAnsi="Times New Roman"/>
                <w:sz w:val="18"/>
              </w:rPr>
              <w:t>+0.097</w:t>
            </w:r>
          </w:p>
        </w:tc>
        <w:tc>
          <w:tcPr>
            <w:tcW w:type="dxa" w:w="1872"/>
          </w:tcPr>
          <w:p>
            <w:r>
              <w:rPr>
                <w:rFonts w:ascii="Times New Roman" w:hAnsi="Times New Roman"/>
                <w:sz w:val="18"/>
              </w:rPr>
              <w:t>—</w:t>
            </w:r>
          </w:p>
        </w:tc>
        <w:tc>
          <w:tcPr>
            <w:tcW w:type="dxa" w:w="1872"/>
          </w:tcPr>
          <w:p>
            <w:r>
              <w:rPr>
                <w:rFonts w:ascii="Times New Roman" w:hAnsi="Times New Roman"/>
                <w:sz w:val="18"/>
              </w:rPr>
              <w:t>0.85</w:t>
            </w:r>
          </w:p>
        </w:tc>
        <w:tc>
          <w:tcPr>
            <w:tcW w:type="dxa" w:w="1872"/>
          </w:tcPr>
          <w:p>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(p=0.49). Figure 4 illustrates the difference between the two exposure definitions: a count exposure spans specialty size (panel a), whereas the size-adjusted rate does not (panel b). The annual hospital and the interpolated annual physician sensitivity analyses were also null (p=0.99 and p=0.37), confirming that the earlier significant, mostly negative associations were artefacts of size confounding and of treating interpolated years as independent observations. The JOCS-CP indicator was associated with obstetric hospital growth (coefficient +0.024, p=0.003), consistent with a structural policy effect in the specialty most central to this debate.</w:t>
      </w:r>
    </w:p>
    <w:p>
      <w:pPr>
        <w:spacing w:before="280"/>
      </w:pPr>
      <w:r>
        <w:rPr>
          <w:rFonts w:ascii="Times New Roman" w:hAnsi="Times New Roman"/>
          <w:b/>
          <w:sz w:val="20"/>
        </w:rPr>
        <w:t>Figure 4. Biennial physician growth against lagged litigation exposure measured as (a) counts and (b) rates.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fig4_counts_vs_rates.png"/>
                    <pic:cNvPicPr/>
                  </pic:nvPicPr>
                  <pic:blipFill>
                    <a:blip r:embed="rId12"/>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two decades of official data.</w:t>
      </w:r>
    </w:p>
    <w:p>
      <w:pPr>
        <w:spacing w:line="480" w:lineRule="auto" w:after="120"/>
      </w:pPr>
      <w:r>
        <w:rPr>
          <w:rFonts w:ascii="Times New Roman" w:hAnsi="Times New Roman"/>
          <w:b w:val="0"/>
          <w:i w:val="0"/>
          <w:sz w:val="24"/>
        </w:rPr>
        <w:t>Our earlier count-based analysis, like several prior studies, reported significant and mostly negative associations. The present work shows these were methodological artefacts: counts embed specialty size, and interpolating the biennial physician census manufactures degrees of freedom for lag-based methods. When both problems are removed, the associations vanish. This is a cautionary example for workforce research that pairs administrative count series.</w:t>
      </w:r>
    </w:p>
    <w:p>
      <w:pPr>
        <w:spacing w:line="480" w:lineRule="auto" w:after="120"/>
      </w:pPr>
      <w:r>
        <w:rPr>
          <w:rFonts w:ascii="Times New Roman" w:hAnsi="Times New Roman"/>
          <w:b w:val="0"/>
          <w:i w:val="0"/>
          <w:sz w:val="24"/>
        </w:rPr>
        <w:t>Why might the workforce be so insensitive to litigation risk? A plausible interpretation is that structural incentives offset it. The Japan Obstetric Compensation System for Cerebral Palsy (2009) introduced no-fault compensation that reduced adversarial litigation pressure in obstetrics, and our data show a concurrent obstetric facility signal.</w:t>
      </w:r>
      <w:r>
        <w:rPr>
          <w:rFonts w:ascii="Times New Roman" w:hAnsi="Times New Roman"/>
          <w:sz w:val="20"/>
          <w:vertAlign w:val="superscript"/>
        </w:rPr>
        <w:t>6</w:t>
      </w:r>
      <w:r>
        <w:rPr>
          <w:rFonts w:ascii="Times New Roman" w:hAnsi="Times New Roman"/>
          <w:b w:val="0"/>
          <w:i w:val="0"/>
          <w:sz w:val="24"/>
        </w:rPr>
        <w:t xml:space="preserve"> More broadly, procedure-based reimbursement (surgical and interventional fees) rewards exactly the high-acuity activity that carries litigation exposure, so the economic return to remaining in these specialties may dominate litigation deterrence.</w:t>
      </w:r>
      <w:r>
        <w:rPr>
          <w:rFonts w:ascii="Times New Roman" w:hAnsi="Times New Roman"/>
          <w:sz w:val="20"/>
          <w:vertAlign w:val="superscript"/>
        </w:rPr>
        <w:t>13</w:t>
      </w:r>
      <w:r>
        <w:rPr>
          <w:rFonts w:ascii="Times New Roman" w:hAnsi="Times New Roman"/>
          <w:b w:val="0"/>
          <w:i w:val="0"/>
          <w:sz w:val="24"/>
        </w:rPr>
        <w:t xml:space="preserve"> Under this view, maldistribution is better addressed through payment design and no-fault compensation than through litigation-avoidance messaging.</w:t>
      </w:r>
    </w:p>
    <w:p>
      <w:pPr>
        <w:spacing w:line="480" w:lineRule="auto" w:after="120"/>
      </w:pPr>
      <w:r>
        <w:rPr>
          <w:rFonts w:ascii="Times New Roman" w:hAnsi="Times New Roman"/>
          <w:b w:val="0"/>
          <w:i w:val="0"/>
          <w:sz w:val="24"/>
        </w:rPr>
        <w:t>These findings also bear on media framing. In a preliminary analysis we examined newspaper coverage of medical accidents (Nikkei Telecom, 2004-2018) but excluded it from the main models because coverage was almost collinear with litigation (|r|≈0.95) and added no explanatory value; it is therefore not a data source here. To the extent that litigation and its coverage move together, guidelines analogous to responsible suicide-reporting standards—avoiding sensationalism and contextualising system factors—may be reasonable, but our data give no basis for expecting a workforce effect from such measures.</w:t>
      </w:r>
      <w:r>
        <w:rPr>
          <w:rFonts w:ascii="Times New Roman" w:hAnsi="Times New Roman"/>
          <w:sz w:val="20"/>
          <w:vertAlign w:val="superscript"/>
        </w:rPr>
        <w:t>14</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nine measured waves; we addressed the limited power directly through equivalence testing and by pooling across specialties, but residual power constraints remain and the equivalence margins are a judgement. Specialty-specific litigation could be recovered only from 2008; earlier specialty tables were not retrievable from primary sources. Clinic counts by specialty are published only every three years and were used descriptively. Litigation counts are assigned to a principal specialty and, by the Court's own note, do not measure intrinsic specialty risk.</w:t>
      </w:r>
      <w:r>
        <w:rPr>
          <w:rFonts w:ascii="Times New Roman" w:hAnsi="Times New Roman"/>
          <w:sz w:val="20"/>
          <w:vertAlign w:val="superscript"/>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incentives—no-fault compensation and procedure-based reimbursement—rather than on the assumption that reducing litigation will retain physicians in high-risk specialties.</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Data and code availability: all primary data files, extraction scripts and analysis code are openly available in the project repository,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JQ;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Angrist JD, Pischke JS. Mostly Harmless Econometrics. Princeton: Princeton University Press; 2009.</w:t>
      </w:r>
    </w:p>
    <w:p>
      <w:pPr>
        <w:spacing w:line="360" w:lineRule="auto"/>
      </w:pPr>
      <w:r>
        <w:rPr>
          <w:rFonts w:ascii="Times New Roman" w:hAnsi="Times New Roman"/>
          <w:sz w:val="20"/>
        </w:rPr>
        <w:t>13. Ministry of Health, Labour and Welfare. National Database (NDB) Open Data. Tokyo: MHLW.</w:t>
      </w:r>
    </w:p>
    <w:p>
      <w:pPr>
        <w:spacing w:line="360" w:lineRule="auto"/>
      </w:pPr>
      <w:r>
        <w:rPr>
          <w:rFonts w:ascii="Times New Roman" w:hAnsi="Times New Roman"/>
          <w:sz w:val="20"/>
        </w:rPr>
        <w:t>14. World Health Organization. Preventing suicide: a resource for media professionals. Geneva: WHO;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