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STROBE Statement — checklist for observational studies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No.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Location/《addressed》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Title and abstract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Rate-based re-analysis design stated in title; structured abstract.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Background/rationale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Specialty maldistribution and the flight-from-risk hypothesis (Introduction).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Objectives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Test association of litigation rate with workforce/hospital change; equivalence.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Study design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Ecological panel across 12 specialties, 2008-2024, biennial grid.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Japan; national administrative and judicial statistics.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Variables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Exposure: litigation rate per 1,000 physicians; outcomes: log-change in physicians/hospitals; JOCS-CP indicator.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sources/measurement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MHLW physician statistics, Supreme Court litigation, MHLW facility survey (Table 1).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Bias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Size confounding removed by rates; interpolation avoided in primary analysis.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Study size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All 12 core specialties; 9 measured biennial waves.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Quantitative variables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Litigation rate; standardised exposure for TOST.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Statistical methods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Panel FE (specialty, wave), cluster-robust SE, TOST, sensitivity analyses.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Descriptive/main results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13-16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Trends (Figs 1-2, Table 2), null panel and equivalence (Table 3-4, Fig 3), counts vs rates (Fig 4).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Limitations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Ecological; biennial resolution; litigation ≠ incident risk; 2004-2007 unavailable.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Interpretation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 support for flight-from-risk; structural incentives discussed.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Generalisability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Japan specialty-level; not individual careers.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Funding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None.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