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Biennial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2004-2024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2008-2024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Exposure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2008-2024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2008-2023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Descriptive</w:t>
            </w:r>
          </w:p>
        </w:tc>
      </w:tr>
    </w:tbl>
    <w:p/>
    <w:p>
      <w:r>
        <w:rPr>
          <w:b/>
          <w:sz w:val="22"/>
        </w:rPr>
        <w:t>Table 2. Physicians, litigation rate (per 1,000 physicians) and hospitals by specialty, 2008 vs 2024.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Specialty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Phys 2008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Phys 2024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Rate 2008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Rate 2024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Hosp 2008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Hosp 2024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Internal medicine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102388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124010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1.48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7725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7163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Surgery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27525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26885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6.54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2.83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4994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4300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Orthopaedics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19273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22630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2.87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5094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4844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Plastic surgery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5074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7.14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1090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1475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Obstetrics &amp; gynaecology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11961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13908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1319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1052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Paediatrics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15236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18009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2932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2446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Psychiatry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13534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17259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1.80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2618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2881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Ophthalmology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12627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13436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2310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Otolaryngology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8936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9330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1937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Urology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6324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8069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2.85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2799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2893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Dermatology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8214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10043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3040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3066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Anaesthesiology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7067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10628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2798</w:t>
            </w:r>
          </w:p>
        </w:tc>
      </w:tr>
    </w:tbl>
    <w:p/>
    <w:p>
      <w:r>
        <w:rPr>
          <w:b/>
          <w:sz w:val="22"/>
        </w:rPr>
        <w:t>Table 3. Panel fixed-effects models and sensitivity analyses.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Physician growth ~ lagged rate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-0.0009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-0.0040, +0.0021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Hospital growth ~ lagged rate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-0.0044, +0.0050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Counts contrast (physician)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Annual hospital (sensitivity)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Interpolated physician (sensitivity)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-0.0010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0.37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Reverse (workforce→litigation)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+0.097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96</w:t>
            </w:r>
          </w:p>
        </w:tc>
      </w:tr>
    </w:tbl>
    <w:p/>
    <w:p>
      <w:r>
        <w:rPr>
          <w:b/>
          <w:sz w:val="22"/>
        </w:rPr>
        <w:t>Table 4.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-0.21%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-0.21%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+0.07%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+0.07%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±2%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