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analysis of published curves quantifying the heterogeneity that hinders a unified retention intervention</w:t>
      </w:r>
    </w:p>
    <w:p>
      <w:pPr>
        <w:jc w:val="center"/>
      </w:pPr>
      <w:r>
        <w:rPr>
          <w:i/>
        </w:rPr>
        <w:t>Short communication</w:t>
      </w:r>
    </w:p>
    <w:p>
      <w:r>
        <w:rPr>
          <w:b/>
          <w:sz w:val="26"/>
        </w:rPr>
        <w:t>Abstract</w:t>
      </w:r>
    </w:p>
    <w:p>
      <w:pPr>
        <w:spacing w:before="120"/>
      </w:pPr>
      <w:r>
        <w:t>Loss to follow-up (LTFU) during tuberculosis (TB) treatment is a major barrier to cure and transmission control</w:t>
      </w:r>
      <w:r>
        <w:rPr>
          <w:vertAlign w:val="superscript"/>
        </w:rPr>
        <w:t>1</w:t>
      </w:r>
      <w:r>
        <w:t>. Its determinants are known to be multilevel and context-dependent</w:t>
      </w:r>
      <w:r>
        <w:rPr>
          <w:vertAlign w:val="superscript"/>
        </w:rPr>
        <w:t>2</w:t>
      </w:r>
      <w:r>
        <w:t>, and community/behavioural interventions to prevent it show inconsistent, setting-specific effectiveness</w:t>
      </w:r>
      <w:r>
        <w:rPr>
          <w:vertAlign w:val="superscript"/>
        </w:rPr>
        <w:t>3</w:t>
      </w:r>
      <w:r>
        <w:t>; why a single retention strategy does not travel well is unresolved. We give this qualitative problem a quantitative handle by asking whether the *timing* of LTFU (its hazard shape) is consistent across settings. We fitted two-parameter Weibull cumulative-incidence models to four real, published time-to-event curves recovered by figure digitization: two TB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xml:space="preserve">). The shape parameter k (k&gt;1 increasing-failure-rate [IFR]; k&lt;1 decreasing-failure-rate [DFR]) </w:t>
      </w:r>
      <w:r>
        <w:rPr>
          <w:b/>
        </w:rPr>
        <w:t>diverged within TB</w:t>
      </w:r>
      <w:r>
        <w:t xml:space="preserve">: Ethiopia k=1.68 (95% CI 1.29–1.95) (IFR) versus China k=0.44 (95% CI 0.43–0.50) (DFR) — opposite sides of k=1 from only two cohorts, with non-identical outcome definitions. By contrast both comparators were DFR (HIV/ART k=0.63 (95% CI 0.54–0.73); antipsychotic k=0.49 (95% CI 0.42–0.57)), i.e. mutually consistent. TB LTFU is therefore </w:t>
      </w:r>
      <w:r>
        <w:rPr>
          <w:b/>
        </w:rPr>
        <w:t>not</w:t>
      </w:r>
      <w:r>
        <w:t xml:space="preserve"> uniformly increasing-hazard: its hazard shape is heterogeneous across countries (plausibly because the country-specific mechanisms that generate LTFU differ), which mathematically illustrates why pooled TB evidence and a one-size retention intervention are hard to build, whereas the comparator interventions may pool more readily. The cause of the shape divergence is unknown. All results regenerate from code and the digitized source figures.</w:t>
      </w:r>
    </w:p>
    <w:p>
      <w:r>
        <w:rPr>
          <w:b/>
          <w:sz w:val="26"/>
        </w:rPr>
        <w:t>1. Introduction</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2. 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3. 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4. 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r>
        <w:rPr>
          <w:b/>
          <w:sz w:val="26"/>
        </w:rPr>
        <w:t>5. Limitations</w:t>
      </w:r>
    </w:p>
    <w:p>
      <w:pPr>
        <w:spacing w:before="120"/>
      </w:pPr>
      <w:r>
        <w:t>Only two TB and two comparator curves met the bar of a genuinely time-resolved, openly available dropout curve, so the analysis is small and hypothesis-generating. Estimates come from digitized aggregate curves, not individual patient data; the Ethiopian estimate is a competing-risk *subdistribution*-hazard shape; the antipsychotic cohort is small (n≈42) and illustrative; KM plateaus reflect administrative censoring. The findings are hypothesis-generating, not confirmatory.</w:t>
      </w:r>
    </w:p>
    <w:p>
      <w:r>
        <w:rPr>
          <w:b/>
          <w:sz w:val="26"/>
        </w:rPr>
        <w:t>6. Data and code availability</w:t>
      </w:r>
    </w:p>
    <w:p>
      <w:pPr>
        <w:spacing w:before="120"/>
      </w:pPr>
      <w:r>
        <w:t>All source figures, digitized CSVs, analysis code and a one-command build (`make`) that regenerates every number, the table and Figure 1 are in the public repository under weibull-clinical-dropout/reanalysis_real/. No result is hard-coded.</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