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sz w:val="22"/>
        </w:rPr>
        <w:t>27 June 2026</w:t>
      </w:r>
    </w:p>
    <w:p>
      <w:pPr>
        <w:spacing w:after="0"/>
      </w:pPr>
      <w:r>
        <w:rPr>
          <w:sz w:val="22"/>
        </w:rPr>
        <w:t>The Editors</w:t>
      </w:r>
    </w:p>
    <w:p>
      <w:pPr>
        <w:spacing w:after="0"/>
      </w:pPr>
      <w:r>
        <w:rPr>
          <w:sz w:val="22"/>
        </w:rPr>
        <w:t>Nature</w:t>
      </w:r>
    </w:p>
    <w:p>
      <w:pPr>
        <w:spacing w:after="0"/>
      </w:pPr>
      <w:r>
        <w:rPr>
          <w:sz w:val="22"/>
        </w:rPr>
        <w:t>Springer Nature</w:t>
      </w:r>
    </w:p>
    <w:p/>
    <w:p>
      <w:r>
        <w:rPr>
          <w:sz w:val="22"/>
        </w:rPr>
        <w:t xml:space="preserve">Re: </w:t>
      </w:r>
      <w:r>
        <w:rPr>
          <w:sz w:val="22"/>
        </w:rPr>
        <w:t xml:space="preserve">Submission of Article — </w:t>
      </w:r>
      <w:r>
        <w:rPr>
          <w:i/>
          <w:sz w:val="22"/>
        </w:rPr>
        <w:t>“Pharmacokinetic compartment theory solves the statistical three-body problem”</w:t>
      </w:r>
    </w:p>
    <w:p/>
    <w:p>
      <w:r>
        <w:rPr>
          <w:sz w:val="22"/>
        </w:rPr>
        <w:t>Dear Editors,</w:t>
      </w:r>
    </w:p>
    <w:p>
      <w:r>
        <w:rPr>
          <w:sz w:val="22"/>
        </w:rPr>
        <w:t>We submit the above manuscript for consideration as an Article in Nature. This work establishes that chaotic three-body gravitational scattering and pharmacokinetic compartment theory share an exact mathematical structure—continuous-time Markov chains on three states with irreversible exit—and that the analytical tools of each field can be productively imported into the other.</w:t>
      </w:r>
    </w:p>
    <w:p>
      <w:r>
        <w:rPr>
          <w:sz w:val="22"/>
        </w:rPr>
        <w:t>The key findings are:</w:t>
      </w:r>
    </w:p>
    <w:p>
      <w:pPr>
        <w:pStyle w:val="ListBullet"/>
      </w:pPr>
      <w:r>
        <w:rPr>
          <w:sz w:val="22"/>
        </w:rPr>
        <w:t>A linear 3-compartment PK model reproduces the multi-exponential lifetime distribution of three-body scattering, validated across 15,000 N-body simulations (3 mass configurations, KS test p &lt; 0.001 versus single exponential).</w:t>
      </w:r>
    </w:p>
    <w:p>
      <w:pPr>
        <w:pStyle w:val="ListBullet"/>
      </w:pPr>
      <w:r>
        <w:rPr>
          <w:sz w:val="22"/>
        </w:rPr>
        <w:t>A nonlinear (Michaelis-Menten) PK extension captures the power-law tail from sticky chaos (36–42% tail RMSE improvement), providing the first minimal parametrisation of the ergodic-to-trapped transition.</w:t>
      </w:r>
    </w:p>
    <w:p>
      <w:pPr>
        <w:pStyle w:val="ListBullet"/>
      </w:pPr>
      <w:r>
        <w:rPr>
          <w:sz w:val="22"/>
        </w:rPr>
        <w:t>Population PK (mixed-effects) modelling yields closed-form allometric scaling of mean residence time with mass ratios across 64 configurations (MRT ∝ μ₁₂²·⁰⁸ · μ_out⁻¹·⁶⁸, R² = 0.67).</w:t>
      </w:r>
    </w:p>
    <w:p>
      <w:pPr>
        <w:pStyle w:val="ListBullet"/>
      </w:pPr>
      <w:r>
        <w:rPr>
          <w:sz w:val="22"/>
        </w:rPr>
        <w:t>The reverse mapping provides a stability analysis framework for target-mediated drug disposition (TMDD) grounded in celestial mechanics.</w:t>
      </w:r>
    </w:p>
    <w:p>
      <w:pPr>
        <w:pStyle w:val="ListBullet"/>
      </w:pPr>
      <w:r>
        <w:rPr>
          <w:sz w:val="22"/>
        </w:rPr>
        <w:t>Extension to fully 3D scattering with 2.5PN gravitational-wave radiation reaction confirms the PK mapping is robust to both dimensionality and dissipation (KS = 0.16–0.31 across all configurations), with implications for LISA merger-rate predictions.</w:t>
      </w:r>
    </w:p>
    <w:p/>
    <w:p>
      <w:r>
        <w:rPr>
          <w:sz w:val="22"/>
        </w:rPr>
        <w:t>We believe this work is appropriate for Nature because it reveals an unexpected structural connection between two major fields of science—gravitational dynamics and pharmacology—that is quantitative, bidirectional, and immediately actionable by both communities. The three-body problem has been a central challenge in physics for over 250 years; pharmacokinetic compartment modelling is the foundation of modern drug development. Showing that these are the same mathematical problem, and that tools from each field solve open questions in the other, will be of broad interest to Nature's readership.</w:t>
      </w:r>
    </w:p>
    <w:p>
      <w:r>
        <w:rPr>
          <w:sz w:val="22"/>
        </w:rPr>
        <w:t>The manuscript has not been published or submitted elsewhere. We request double-anonymised peer review.</w:t>
      </w:r>
    </w:p>
    <w:p>
      <w:r>
        <w:rPr>
          <w:sz w:val="22"/>
        </w:rPr>
        <w:t>Suggested reviewers:</w:t>
      </w:r>
    </w:p>
    <w:p>
      <w:r>
        <w:rPr>
          <w:b/>
          <w:sz w:val="20"/>
        </w:rPr>
        <w:t xml:space="preserve">Dr. Alessandro A. Trani, </w:t>
      </w:r>
      <w:r>
        <w:rPr>
          <w:i/>
          <w:sz w:val="20"/>
        </w:rPr>
        <w:t xml:space="preserve">Niels Bohr Institute, University of Copenhagen, Denmark. </w:t>
      </w:r>
      <w:r>
        <w:rPr>
          <w:sz w:val="20"/>
        </w:rPr>
        <w:t xml:space="preserve">alessandro.trani@nbi.ku.dk. </w:t>
      </w:r>
      <w:r>
        <w:rPr>
          <w:sz w:val="20"/>
        </w:rPr>
        <w:t>Expertise: Three-body problem, gravitational waves, N-body dynamics.</w:t>
      </w:r>
    </w:p>
    <w:p>
      <w:r>
        <w:rPr>
          <w:b/>
          <w:sz w:val="20"/>
        </w:rPr>
        <w:t xml:space="preserve">Dr. Silvia Toonen, </w:t>
      </w:r>
      <w:r>
        <w:rPr>
          <w:i/>
          <w:sz w:val="20"/>
        </w:rPr>
        <w:t xml:space="preserve">Anton Pannekoek Institute, University of Amsterdam, Netherlands. </w:t>
      </w:r>
      <w:r>
        <w:rPr>
          <w:sz w:val="20"/>
        </w:rPr>
        <w:t xml:space="preserve">toonen@uva.nl. </w:t>
      </w:r>
      <w:r>
        <w:rPr>
          <w:sz w:val="20"/>
        </w:rPr>
        <w:t>Expertise: Gravitational-wave sources, compact binary dynamics.</w:t>
      </w:r>
    </w:p>
    <w:p>
      <w:r>
        <w:rPr>
          <w:b/>
          <w:sz w:val="20"/>
        </w:rPr>
        <w:t xml:space="preserve">Prof. Mats O. Karlsson, </w:t>
      </w:r>
      <w:r>
        <w:rPr>
          <w:i/>
          <w:sz w:val="20"/>
        </w:rPr>
        <w:t xml:space="preserve">Dept. of Pharmacy, Uppsala University, Sweden. </w:t>
      </w:r>
      <w:r>
        <w:rPr>
          <w:sz w:val="20"/>
        </w:rPr>
        <w:t xml:space="preserve">mats.karlsson@farmaci.uu.se. </w:t>
      </w:r>
      <w:r>
        <w:rPr>
          <w:sz w:val="20"/>
        </w:rPr>
        <w:t>Expertise: Population pharmacokinetics, nonlinear mixed-effects modelling.</w:t>
      </w:r>
    </w:p>
    <w:p>
      <w:r>
        <w:rPr>
          <w:b/>
          <w:sz w:val="20"/>
        </w:rPr>
        <w:t xml:space="preserve">Prof. Nick Holford, </w:t>
      </w:r>
      <w:r>
        <w:rPr>
          <w:i/>
          <w:sz w:val="20"/>
        </w:rPr>
        <w:t xml:space="preserve">Dept. of Pharmacology, University of Auckland, New Zealand. </w:t>
      </w:r>
      <w:r>
        <w:rPr>
          <w:sz w:val="20"/>
        </w:rPr>
        <w:t xml:space="preserve">n.holford@auckland.ac.nz. </w:t>
      </w:r>
      <w:r>
        <w:rPr>
          <w:sz w:val="20"/>
        </w:rPr>
        <w:t>Expertise: Clinical pharmacology, PK/PD modelling.</w:t>
      </w:r>
    </w:p>
    <w:p>
      <w:r>
        <w:rPr>
          <w:b/>
          <w:sz w:val="20"/>
        </w:rPr>
        <w:t xml:space="preserve">Prof. Rosalba Perna, </w:t>
      </w:r>
      <w:r>
        <w:rPr>
          <w:i/>
          <w:sz w:val="20"/>
        </w:rPr>
        <w:t xml:space="preserve">Dept. of Physics &amp; Astronomy, Stony Brook University, USA. </w:t>
      </w:r>
      <w:r>
        <w:rPr>
          <w:sz w:val="20"/>
        </w:rPr>
        <w:t xml:space="preserve">rosalba.perna@stonybrook.edu. </w:t>
      </w:r>
      <w:r>
        <w:rPr>
          <w:sz w:val="20"/>
        </w:rPr>
        <w:t>Expertise: N-body dynamics, gravitational waves, compact objects.</w:t>
      </w:r>
    </w:p>
    <w:p/>
    <w:p>
      <w:r>
        <w:rPr>
          <w:b/>
          <w:sz w:val="22"/>
        </w:rPr>
        <w:t xml:space="preserve">Excluded reviewers: </w:t>
      </w:r>
      <w:r>
        <w:rPr>
          <w:sz w:val="22"/>
        </w:rPr>
        <w:t>Nathan W.C. Leigh (Universidad de Concepcion), Nicholas C. Stone (Hebrew University), and Barak Kol (Hebrew University)—all are authors of directly competing statistical three-body solutions.</w:t>
      </w:r>
    </w:p>
    <w:p/>
    <w:p>
      <w:pPr>
        <w:spacing w:after="0"/>
      </w:pPr>
      <w:r>
        <w:rPr>
          <w:sz w:val="22"/>
        </w:rPr>
        <w:t>Sincerely,</w:t>
      </w:r>
    </w:p>
    <w:p>
      <w:pPr>
        <w:spacing w:after="0"/>
      </w:pPr>
      <w:r>
        <w:rPr>
          <w:sz w:val="22"/>
        </w:rPr>
      </w:r>
    </w:p>
    <w:p>
      <w:pPr>
        <w:spacing w:after="0"/>
      </w:pPr>
      <w:r>
        <w:rPr>
          <w:sz w:val="22"/>
        </w:rPr>
        <w:t>Tatsuki Onishi</w:t>
      </w:r>
    </w:p>
    <w:p>
      <w:pPr>
        <w:spacing w:after="0"/>
      </w:pPr>
      <w:r>
        <w:rPr>
          <w:sz w:val="22"/>
        </w:rPr>
        <w:t>Faculty of Data Science, Shiga University</w:t>
      </w:r>
    </w:p>
    <w:p>
      <w:pPr>
        <w:spacing w:after="0"/>
      </w:pPr>
      <w:r>
        <w:rPr>
          <w:sz w:val="22"/>
        </w:rPr>
        <w:t>1-1-1 Banba, Hikone, Shiga 522-8522, Japan</w:t>
      </w:r>
    </w:p>
    <w:p>
      <w:pPr>
        <w:spacing w:after="0"/>
      </w:pPr>
      <w:r>
        <w:rPr>
          <w:sz w:val="22"/>
        </w:rPr>
        <w:t>Email: 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