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0"/>
        </w:rPr>
        <w:t>Litigation risk and specialty-level physician workforce in Japan, 2008–2024: a rate-based re-analysis with equivalence testing</w:t>
      </w:r>
    </w:p>
    <w:p>
      <w:pPr>
        <w:jc w:val="center"/>
      </w:pPr>
      <w:r>
        <w:rPr>
          <w:sz w:val="24"/>
        </w:rPr>
        <w:t>Authors: [Author names]</w:t>
      </w:r>
    </w:p>
    <w:p>
      <w:pPr>
        <w:jc w:val="center"/>
      </w:pPr>
      <w:r>
        <w:rPr>
          <w:sz w:val="24"/>
        </w:rPr>
        <w:t>Affiliations: [Institutions]</w:t>
      </w:r>
    </w:p>
    <w:p>
      <w:pPr>
        <w:jc w:val="center"/>
      </w:pPr>
      <w:r>
        <w:rPr>
          <w:sz w:val="24"/>
        </w:rPr>
        <w:t>Corresponding author: [name, address, email]</w:t>
      </w:r>
    </w:p>
    <w:p>
      <w:pPr>
        <w:jc w:val="center"/>
      </w:pPr>
      <w:r>
        <w:rPr>
          <w:sz w:val="24"/>
        </w:rPr>
        <w:t>Word count (main text): [auto]</w:t>
      </w:r>
    </w:p>
    <w:p>
      <w:pPr>
        <w:jc w:val="center"/>
      </w:pPr>
      <w:r>
        <w:rPr>
          <w:sz w:val="24"/>
        </w:rPr>
        <w:t>Tables: 4  Figures: 4</w:t>
      </w:r>
    </w:p>
    <w:p>
      <w:pPr>
        <w:jc w:val="center"/>
      </w:pPr>
      <w:r>
        <w:rPr>
          <w:sz w:val="24"/>
        </w:rPr>
        <w:t>Conflicts of interest: none declared</w:t>
      </w:r>
    </w:p>
    <w:p>
      <w:pPr>
        <w:jc w:val="center"/>
      </w:pPr>
      <w:r>
        <w:rPr>
          <w:sz w:val="24"/>
        </w:rPr>
        <w:t>Funding: none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