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3</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Age-sex standardised SCR confirmed 2.3-fold variation in analgesic prescribing independent of demographic structure.</w:t>
      </w:r>
    </w:p>
    <w:p>
      <w:r>
        <w:rPr>
          <w:b/>
        </w:rPr>
        <w:t xml:space="preserve">Conclusions: </w:t>
      </w:r>
      <w:r>
        <w:t>Nearly twofold within-country variation in pain-related prescribing persists after age-sex standardisation, indicating supply-sensitive practice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1,16</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2</w:t>
      </w:r>
      <w:r>
        <w:t xml:space="preserve"> Recent studies have also documented up to 1.6-fold regional variation in chronic pain prevalence</w:t>
      </w:r>
      <w:r>
        <w:rPr>
          <w:sz w:val="20"/>
          <w:vertAlign w:val="superscript"/>
        </w:rPr>
        <w:t>4</w:t>
      </w:r>
      <w:r>
        <w:t xml:space="preserve"> and 4-fold variation in cancer opioid prescribing.</w:t>
      </w:r>
      <w:r>
        <w:rPr>
          <w:sz w:val="20"/>
          <w:vertAlign w:val="superscript"/>
        </w:rPr>
        <w:t>5</w:t>
      </w:r>
      <w:r>
        <w:t xml:space="preserve"> However, no study has comprehensively mapped pain-related prescribing variation across all 47 prefectures using the population-complete NDB.</w:t>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three objectives: (1) map regional variation in acute perioperative analgesic prescribing across 47 prefectures; (2) examine outpatient neuropathic pain drug prescribing as a chronic postsurgical pain (CPSP) proxy after adjustment for confounding diseases; and (3) quantify the contribution of confounders to the apparent regional pattern.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6</w:t>
      </w:r>
      <w:r>
        <w:t xml:space="preserve"> and the REporting of studies Conducted using Observational Routinely-collected health Data (RECORD) extension.</w:t>
      </w:r>
      <w:r>
        <w:rPr>
          <w:sz w:val="20"/>
          <w:vertAlign w:val="superscript"/>
        </w:rPr>
        <w:t>7</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2</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indicators NS</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indicators NS</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indicators NS</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indicators NS</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Three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2</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8</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13</w:t>
      </w:r>
      <w:r>
        <w:t xml:space="preserve"> and Campbell and Edwards identified that clinician expectations about cultural pain behaviour can lead to systematic under- or over-treatment.</w:t>
      </w:r>
      <w:r>
        <w:rPr>
          <w:sz w:val="20"/>
          <w:vertAlign w:val="superscript"/>
        </w:rPr>
        <w:t>14</w:t>
      </w:r>
      <w:r>
        <w:t xml:space="preserve"> Japan is often characterised as culturally homogeneous with patients who are stoic about pain.</w:t>
      </w:r>
      <w:r>
        <w:rPr>
          <w:sz w:val="20"/>
          <w:vertAlign w:val="superscript"/>
        </w:rPr>
        <w:t>11,12</w:t>
      </w:r>
      <w:r>
        <w:t xml:space="preserve"> Yet our data demonstrate that even within this putatively uniform population, prescribing patterns vary nearly twofold—a degree of heterogeneity that makes any national-level characterisation clinically misleading. The Pfizer Japan 2017 survey similarly found that the proportion of chronic pain patients "enduring pain without seeking treatment" ranged from 48.7% to 81.6% across prefectures.</w:t>
      </w:r>
      <w:r>
        <w:rPr>
          <w:sz w:val="20"/>
          <w:vertAlign w:val="superscript"/>
        </w:rPr>
        <w:t>9</w:t>
      </w:r>
      <w:r/>
    </w:p>
    <w:p>
      <w:r>
        <w:t>The revised IASP definition describes pain as inherently subjective.</w:t>
      </w:r>
      <w:r>
        <w:rPr>
          <w:sz w:val="20"/>
          <w:vertAlign w:val="superscript"/>
        </w:rPr>
        <w:t>15</w:t>
      </w:r>
      <w:r>
        <w:t xml:space="preserve"> No regional label or cultural generalisation can substitute for individualised pain assessment. Objective nociception monitoring may help standardise perioperative assessment.</w:t>
      </w:r>
      <w:r>
        <w:rPr>
          <w:sz w:val="20"/>
          <w:vertAlign w:val="superscript"/>
        </w:rPr>
        <w:t>17</w:t>
      </w:r>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and a perioperative design that neutralises healthcare access as a confounder.</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w:t>
      </w:r>
    </w:p>
    <w:p>
      <w:pPr>
        <w:pStyle w:val="Heading2"/>
      </w:pPr>
      <w:r>
        <w:rPr>
          <w:rFonts w:ascii="Times New Roman" w:hAnsi="Times New Roman"/>
          <w:color w:val="000000"/>
        </w:rPr>
        <w:t>Conclusion</w:t>
      </w:r>
    </w:p>
    <w:p>
      <w:r>
        <w:t>Pain-related prescribing varies nearly twofold across Japan's 47 prefectures, persisting after age-sex standardisation.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3. </w:t>
      </w:r>
      <w:r>
        <w:t>Ministry of Health, Labour and Welfare. NDB Open Data, 10th edition. https://www.mhlw.go.jp/stf/seisakunitsuite/bunya/0000177221_00016.html. Accessed January 15, 2025.</w:t>
      </w:r>
    </w:p>
    <w:p>
      <w:r>
        <w:rPr>
          <w:b/>
        </w:rPr>
        <w:t xml:space="preserve">4.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5. </w:t>
      </w:r>
      <w:r>
        <w:t>Matsuoka Y, Morishima T, Sato A, et al. Population-based claims study of regional and hospital function differences in opioid prescribing for cancer patients who died in hospital in Japan. Jpn J Clin Oncol. 2025;55:hyaf149.</w:t>
      </w:r>
    </w:p>
    <w:p>
      <w:r>
        <w:rPr>
          <w:b/>
        </w:rPr>
        <w:t xml:space="preserve">6. </w:t>
      </w:r>
      <w:r>
        <w:t>von Elm E, Altman DG, Egger M, et al. The Strengthening the Reporting of Observational Studies in Epidemiology (STROBE) statement: guidelines for reporting observational studies. Lancet. 2007;370:1453–7. doi:10.1016/S0140-6736(07)61602-X</w:t>
      </w:r>
    </w:p>
    <w:p>
      <w:r>
        <w:rPr>
          <w:b/>
        </w:rPr>
        <w:t xml:space="preserve">7. </w:t>
      </w:r>
      <w:r>
        <w:t>Benchimol EI, Smeeth L, Guttmann A, et al. The REporting of studies Conducted using Observational Routinely-collected health Data (RECORD) statement. PLoS Med. 2015;12:e1001885. doi:10.1371/journal.pmed.1001885</w:t>
      </w:r>
    </w:p>
    <w:p>
      <w:r>
        <w:rPr>
          <w:b/>
        </w:rPr>
        <w:t xml:space="preserve">8. </w:t>
      </w:r>
      <w:r>
        <w:t>Kehlet H, Jensen TS, Woolf CJ. Persistent postsurgical pain: risk factors and prevention. Lancet. 2006;367:1618–25. doi:10.1016/S0140-6736(06)68700-X</w:t>
      </w:r>
    </w:p>
    <w:p>
      <w:r>
        <w:rPr>
          <w:b/>
        </w:rPr>
        <w:t xml:space="preserve">9. </w:t>
      </w:r>
      <w:r>
        <w:t>Pfizer Japan Inc. 47-prefecture survey on chronic pain. https://www.pfizer.co.jp/pfizer/company/press/2017. Accessed February 1, 2025.</w:t>
      </w:r>
    </w:p>
    <w:p>
      <w:r>
        <w:rPr>
          <w:b/>
        </w:rPr>
        <w:t xml:space="preserve">10. </w:t>
      </w:r>
      <w:r>
        <w:t>Ministry of Health, Labour and Welfare. Comprehensive Survey of Living Conditions (Kokumin Seikatsu Kiso Chousa), 2022. https://www.mhlw.go.jp/toukei/saikin/hw/k-tyosa/k-tyosa22/. Accessed March 1, 2025.</w:t>
      </w:r>
    </w:p>
    <w:p>
      <w:r>
        <w:rPr>
          <w:b/>
        </w:rPr>
        <w:t xml:space="preserve">11. </w:t>
      </w:r>
      <w:r>
        <w:t>Callister LC. Cultural influences on pain perceptions and behaviors. Home Health Care Manag Pract. 2003;15:207–11. doi:10.1177/1084822303015004003</w:t>
      </w:r>
    </w:p>
    <w:p>
      <w:r>
        <w:rPr>
          <w:b/>
        </w:rPr>
        <w:t xml:space="preserve">12. </w:t>
      </w:r>
      <w:r>
        <w:t>Hobara M. Beliefs about appropriate pain behavior: cross-cultural and sex differences between Japanese and Euro-Americans. Eur J Pain. 2005;9:389–93. doi:10.1016/j.ejpain.2004.09.006</w:t>
      </w:r>
    </w:p>
    <w:p>
      <w:r>
        <w:rPr>
          <w:b/>
        </w:rPr>
        <w:t xml:space="preserve">13. </w:t>
      </w:r>
      <w:r>
        <w:t>Anderson KO, Green CR, Payne R. Racial and ethnic disparities in pain: causes and consequences of unequal care. J Pain. 2009;10:1187–204. doi:10.1016/j.jpain.2009.06.010</w:t>
      </w:r>
    </w:p>
    <w:p>
      <w:r>
        <w:rPr>
          <w:b/>
        </w:rPr>
        <w:t xml:space="preserve">14. </w:t>
      </w:r>
      <w:r>
        <w:t>Campbell CM, Edwards RR. Ethnic differences in pain and pain management. Pain Manag. 2012;2:219–30. doi:10.2217/pmt.12.7</w:t>
      </w:r>
    </w:p>
    <w:p>
      <w:r>
        <w:rPr>
          <w:b/>
        </w:rPr>
        <w:t xml:space="preserve">15. </w:t>
      </w:r>
      <w:r>
        <w:t>Raja SN, Carr DB, Cohen M, et al. The revised International Association for the Study of Pain definition of pain: concepts, challenges, and compromises. Pain. 2020;161:1976–82. doi:10.1097/j.pain.0000000000001939</w:t>
      </w:r>
    </w:p>
    <w:p>
      <w:r>
        <w:rPr>
          <w:b/>
        </w:rPr>
        <w:t xml:space="preserve">16. </w:t>
      </w:r>
      <w:r>
        <w:t>Corallo AN, Croxford R, Goodman DC, Bryan EL, Srivastava D, Stukel TA. A systematic review of medical practice variation in OECD countries. Health Policy. 2014;114:5–14. doi:10.1016/j.healthpol.2013.08.002</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doi:10.12688/f1000research.147085.2</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