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in Japan, 2008–2024: a rate-based analysis with equivalence testing",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 for healthcare decisions. Our study applies a transparent, reproducible health-analytics pipeline to a long-standing workforce-policy question: whether malpractice-litigation risk drives physicians away from high-risk specialties.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Using national primary data for 12 clinical specialties in Japan, we measure exposure as a size-adjusted rate (closed malpractice claims per 1,000 physicians) and estimate panel fixed-effects models with equivalence (TOST) testing. The effect of litigation risk on physician and hospital growth is statistically equivalent to a null within policy-relevant margins. We show that count-based associations disappear once specialty-size confounding and interpolation are removed, and we discuss how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