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Geographic distance decay in population-level Neanderthal and Denisovan segment profiles</w:t>
      </w:r>
    </w:p>
    <w:p>
      <w:pPr>
        <w:jc w:val="center"/>
      </w:pPr>
      <w:r>
        <w:rPr>
          <w:b/>
        </w:rPr>
        <w:t>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Geography of archaic segment profiles</w:t>
      </w:r>
    </w:p>
    <w:p>
      <w:pPr>
        <w:pStyle w:val="Heading1"/>
      </w:pPr>
      <w:r>
        <w:t>Abstract</w:t>
      </w:r>
    </w:p>
    <w:p>
      <w:pPr>
        <w:spacing w:line="360" w:lineRule="auto"/>
      </w:pPr>
      <w:r>
        <w:t>Objectives: Archaic-like segments around the ABO blood-group locus have been proposed as clues to blood-group history and human dispersal, but their interpretation lacks a genome-wide geographic baseline. We tested whether population-level genomic profiles of inferred Neanderthal- and Denisovan-like segments become less similar with geographic distance. Materials and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were evaluated with population-label quadratic assignment permutations, population-deletion analyses, and sensitivities to window size, similarity metric, sample-size threshold, dataset, zero-distance pairs, and regional omission. Results: Similarity declined with distance for Neanderthal (raw r=-0.497) and Denisovan (raw r=-0.462) profiles. Expanded descriptive models that also included designated recent-admixture involvement, same-continent status, and same-dataset status had partial distance correlations of -0.369 and -0.326; population-label permutation P values for distance were 0.0001 and 0.0002. No positive-residual non-admixed pair met both z&gt;2 and false-discovery-rate q&lt;0.10. Conclusions: Archaic-segment profile similarity contains a broad geographic distance-decay signal, but the analysis does not identify exceptional population connections or demonstrate specific migration routes. A secondary ABO-window analysis remains hypothesis-generating.</w:t>
      </w:r>
    </w:p>
    <w:p>
      <w:r>
        <w:rPr>
          <w:b/>
        </w:rPr>
        <w:t xml:space="preserve">Keywords: </w:t>
      </w:r>
      <w:r>
        <w:t>archaic introgression; Neanderthal; Denisovan; population genetics; geographic distance;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Most summaries emphasize the proportion of archaic ancestry within a population. A complementary question is whether two populations carry inferred archaic segments in similar genomic locations.</w:t>
      </w:r>
    </w:p>
    <w:p>
      <w:pPr>
        <w:ind w:firstLine="432"/>
      </w:pPr>
      <w:r>
        <w:rPr>
          <w:rFonts w:ascii="Times New Roman" w:hAnsi="Times New Roman"/>
          <w:i w:val="0"/>
          <w:sz w:val="24"/>
        </w:rPr>
        <w:t>Geographic gradients in archaic ancestry may reflect range expansions and serial demographic processes rather than a single migration event (Quilodran et al. 2023). Pairwise profile similarity offers a direct descriptive measure of shared genomic distribution, but it creates dyadic data: every population appears in many pair rows. Standard row-wise regression tests, bootstraps, or response shuffles therefore do not preserve the population-level dependence structure. Quadratic assignment procedures (QAP) address this problem by permuting population labels on a complete matrix (Krackhardt 1988; Dekker, Krackhardt, and Snijders 2007).</w:t>
      </w:r>
    </w:p>
    <w:p>
      <w:pPr>
        <w:ind w:firstLine="432"/>
      </w:pPr>
      <w:r>
        <w:rPr>
          <w:rFonts w:ascii="Times New Roman" w:hAnsi="Times New Roman"/>
          <w:i w:val="0"/>
          <w:sz w:val="24"/>
        </w:rPr>
        <w:t>The primary objective was to test whether Neanderthal- and Denisovan-segment profile similarity declines with great-circle distance across 66 populations from the 1000 Genomes Project and Human Genome Diversity Project (HGDP). We also tested robustness to alternative genomic windows, similarity metrics, sample-size thresholds, datasets, co-located pairs, and regional omission. A secondary analysis of the interval centered on the ABO blood-group locus was retained because ABO has an unusually deep allelic history and has motivated founder-effect and archaic-background hypotheses (Calafell et al. 2008; Halverson and Bolnick 2008; Segurel et al. 2012; Condemi et al. 2021). This focal analysis was prespecified as exploratory and was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follow the expanded journal guidance on ethical review and stakeholder communication (Turner 2025).</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spacing w:before="320"/>
        <w:jc w:val="center"/>
      </w:pPr>
      <w:r>
        <w:drawing>
          <wp:inline xmlns:a="http://schemas.openxmlformats.org/drawingml/2006/main" xmlns:pic="http://schemas.openxmlformats.org/drawingml/2006/picture">
            <wp:extent cx="5806440" cy="2714541"/>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14541"/>
                    </a:xfrm>
                    <a:prstGeom prst="rect"/>
                  </pic:spPr>
                </pic:pic>
              </a:graphicData>
            </a:graphic>
          </wp:inline>
        </w:drawing>
      </w:r>
    </w:p>
    <w:p>
      <w:pPr>
        <w:spacing w:before="200" w:line="276" w:lineRule="auto"/>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spacing w:before="320"/>
        <w:jc w:val="center"/>
      </w:pPr>
      <w:r>
        <w:drawing>
          <wp:inline xmlns:a="http://schemas.openxmlformats.org/drawingml/2006/main" xmlns:pic="http://schemas.openxmlformats.org/drawingml/2006/picture">
            <wp:extent cx="5806440" cy="2695784"/>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695784"/>
                    </a:xfrm>
                    <a:prstGeom prst="rect"/>
                  </pic:spPr>
                </pic:pic>
              </a:graphicData>
            </a:graphic>
          </wp:inline>
        </w:drawing>
      </w:r>
    </w:p>
    <w:p>
      <w:pPr>
        <w:spacing w:before="200" w:line="276" w:lineRule="auto"/>
      </w:pPr>
      <w:r>
        <w:rPr>
          <w:b/>
        </w:rPr>
        <w:t xml:space="preserve">Figure 2. </w:t>
      </w:r>
      <w:r>
        <w:t>Pairwise archaic-segment profile similarity for 31 prespecified populations. The subset is displayed for legibility; all 66 populations were analyzed.</w:t>
      </w:r>
    </w:p>
    <w:p>
      <w:pPr>
        <w:pStyle w:val="Heading2"/>
      </w:pPr>
      <w:r>
        <w:t>Schematic dispersal context</w:t>
      </w:r>
    </w:p>
    <w:p>
      <w:pPr>
        <w:ind w:firstLine="432"/>
      </w:pPr>
      <w:r>
        <w:rPr>
          <w:rFonts w:ascii="Times New Roman" w:hAnsi="Times New Roman"/>
          <w:i w:val="0"/>
          <w:sz w:val="24"/>
        </w:rPr>
        <w:t>A Minard-style diagram places the analysis within broad dispersal and archaic-introgression contexts (Figure 3). Band widths, branch positions, and event placement are schematic and are not estimates from the present pairwise analysis.</w:t>
      </w:r>
    </w:p>
    <w:p>
      <w:pPr>
        <w:spacing w:before="320"/>
        <w:jc w:val="center"/>
      </w:pPr>
      <w:r>
        <w:drawing>
          <wp:inline xmlns:a="http://schemas.openxmlformats.org/drawingml/2006/main" xmlns:pic="http://schemas.openxmlformats.org/drawingml/2006/picture">
            <wp:extent cx="5806440" cy="3179543"/>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806440" cy="3179543"/>
                    </a:xfrm>
                    <a:prstGeom prst="rect"/>
                  </pic:spPr>
                </pic:pic>
              </a:graphicData>
            </a:graphic>
          </wp:inline>
        </w:drawing>
      </w:r>
    </w:p>
    <w:p>
      <w:pPr>
        <w:spacing w:before="200" w:line="276" w:lineRule="auto"/>
      </w:pPr>
      <w:r>
        <w:rPr>
          <w:b/>
        </w:rPr>
        <w:t xml:space="preserve">Figure 3. </w:t>
      </w:r>
      <w:r>
        <w:t>Minard-style schematic of human dispersal and archaic introgression. Band widths, branch positions, and event placement are illustrative and do not estimate migration magnitude, ancestry proportion, or a route supported by the present analysis.</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4 shows the effect of excluding designated recently admixed populations, and Figure 5 shows window-size results at 250 kb, 500 kb, and 1 Mb. These analyses were treated as robustness checks rather than independent confirmatory tests.</w:t>
      </w:r>
    </w:p>
    <w:p>
      <w:pPr>
        <w:spacing w:before="320"/>
        <w:jc w:val="center"/>
      </w:pPr>
      <w:r>
        <w:drawing>
          <wp:inline xmlns:a="http://schemas.openxmlformats.org/drawingml/2006/main" xmlns:pic="http://schemas.openxmlformats.org/drawingml/2006/picture">
            <wp:extent cx="5806440" cy="3440471"/>
            <wp:docPr id="4" name="Picture 4"/>
            <wp:cNvGraphicFramePr>
              <a:graphicFrameLocks noChangeAspect="1"/>
            </wp:cNvGraphicFramePr>
            <a:graphic>
              <a:graphicData uri="http://schemas.openxmlformats.org/drawingml/2006/picture">
                <pic:pic>
                  <pic:nvPicPr>
                    <pic:cNvPr id="0" name="fig4_sensitivity_admixed.png"/>
                    <pic:cNvPicPr/>
                  </pic:nvPicPr>
                  <pic:blipFill>
                    <a:blip r:embed="rId12"/>
                    <a:stretch>
                      <a:fillRect/>
                    </a:stretch>
                  </pic:blipFill>
                  <pic:spPr>
                    <a:xfrm>
                      <a:off x="0" y="0"/>
                      <a:ext cx="5806440" cy="3440471"/>
                    </a:xfrm>
                    <a:prstGeom prst="rect"/>
                  </pic:spPr>
                </pic:pic>
              </a:graphicData>
            </a:graphic>
          </wp:inline>
        </w:drawing>
      </w:r>
    </w:p>
    <w:p>
      <w:pPr>
        <w:spacing w:before="200" w:line="276" w:lineRule="auto"/>
      </w:pPr>
      <w:r>
        <w:rPr>
          <w:b/>
        </w:rPr>
        <w:t xml:space="preserve">Figure 4. </w:t>
      </w:r>
      <w:r>
        <w:t>Sensitivity of the descriptive Neanderthal distance correlation to exclusion of designated recently admixed populations.</w:t>
      </w:r>
    </w:p>
    <w:p>
      <w:pPr>
        <w:spacing w:before="320"/>
        <w:jc w:val="center"/>
      </w:pPr>
      <w:r>
        <w:drawing>
          <wp:inline xmlns:a="http://schemas.openxmlformats.org/drawingml/2006/main" xmlns:pic="http://schemas.openxmlformats.org/drawingml/2006/picture">
            <wp:extent cx="5806440" cy="3705395"/>
            <wp:docPr id="5" name="Picture 5"/>
            <wp:cNvGraphicFramePr>
              <a:graphicFrameLocks noChangeAspect="1"/>
            </wp:cNvGraphicFramePr>
            <a:graphic>
              <a:graphicData uri="http://schemas.openxmlformats.org/drawingml/2006/picture">
                <pic:pic>
                  <pic:nvPicPr>
                    <pic:cNvPr id="0" name="fig5_window_sensitivity.png"/>
                    <pic:cNvPicPr/>
                  </pic:nvPicPr>
                  <pic:blipFill>
                    <a:blip r:embed="rId13"/>
                    <a:stretch>
                      <a:fillRect/>
                    </a:stretch>
                  </pic:blipFill>
                  <pic:spPr>
                    <a:xfrm>
                      <a:off x="0" y="0"/>
                      <a:ext cx="5806440" cy="3705395"/>
                    </a:xfrm>
                    <a:prstGeom prst="rect"/>
                  </pic:spPr>
                </pic:pic>
              </a:graphicData>
            </a:graphic>
          </wp:inline>
        </w:drawing>
      </w:r>
    </w:p>
    <w:p>
      <w:pPr>
        <w:spacing w:before="200" w:line="276" w:lineRule="auto"/>
      </w:pPr>
      <w:r>
        <w:rPr>
          <w:b/>
        </w:rPr>
        <w:t xml:space="preserve">Figure 5. </w:t>
      </w:r>
      <w:r>
        <w:t>Descriptive geographic distance correlations at 250-kb, 500-kb, and 1-Mb window sizes. Quadratic assignment procedure results are tabulated in Supplementary Data.</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spacing w:before="280"/>
      </w:pPr>
      <w:r>
        <w:rPr>
          <w:b/>
        </w:rPr>
        <w:t>Table 1. Positive-residual Neanderthal pairs after false discovery rate control</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Population 1</w:t>
            </w:r>
          </w:p>
        </w:tc>
        <w:tc>
          <w:tcPr>
            <w:tcW w:type="dxa" w:w="1337"/>
            <w:shd w:fill="D9EAF7"/>
          </w:tcPr>
          <w:p>
            <w:pPr>
              <w:spacing w:line="240" w:lineRule="auto"/>
            </w:pPr>
            <w:r>
              <w:rPr>
                <w:rFonts w:ascii="Arial" w:hAnsi="Arial"/>
                <w:b/>
                <w:sz w:val="17"/>
              </w:rPr>
              <w:t>Population 2</w:t>
            </w:r>
          </w:p>
        </w:tc>
        <w:tc>
          <w:tcPr>
            <w:tcW w:type="dxa" w:w="1337"/>
            <w:shd w:fill="D9EAF7"/>
          </w:tcPr>
          <w:p>
            <w:pPr>
              <w:spacing w:line="240" w:lineRule="auto"/>
            </w:pPr>
            <w:r>
              <w:rPr>
                <w:rFonts w:ascii="Arial" w:hAnsi="Arial"/>
                <w:b/>
                <w:sz w:val="17"/>
              </w:rPr>
              <w:t>Region 1</w:t>
            </w:r>
          </w:p>
        </w:tc>
        <w:tc>
          <w:tcPr>
            <w:tcW w:type="dxa" w:w="1337"/>
            <w:shd w:fill="D9EAF7"/>
          </w:tcPr>
          <w:p>
            <w:pPr>
              <w:spacing w:line="240" w:lineRule="auto"/>
            </w:pPr>
            <w:r>
              <w:rPr>
                <w:rFonts w:ascii="Arial" w:hAnsi="Arial"/>
                <w:b/>
                <w:sz w:val="17"/>
              </w:rPr>
              <w:t>Region 2</w:t>
            </w:r>
          </w:p>
        </w:tc>
        <w:tc>
          <w:tcPr>
            <w:tcW w:type="dxa" w:w="1337"/>
            <w:shd w:fill="D9EAF7"/>
          </w:tcPr>
          <w:p>
            <w:pPr>
              <w:spacing w:line="240" w:lineRule="auto"/>
            </w:pPr>
            <w:r>
              <w:rPr>
                <w:rFonts w:ascii="Arial" w:hAnsi="Arial"/>
                <w:b/>
                <w:sz w:val="17"/>
              </w:rPr>
              <w:t>Distance (km)</w:t>
            </w:r>
          </w:p>
        </w:tc>
        <w:tc>
          <w:tcPr>
            <w:tcW w:type="dxa" w:w="1337"/>
            <w:shd w:fill="D9EAF7"/>
          </w:tcPr>
          <w:p>
            <w:pPr>
              <w:spacing w:line="240" w:lineRule="auto"/>
            </w:pPr>
            <w:r>
              <w:rPr>
                <w:rFonts w:ascii="Arial" w:hAnsi="Arial"/>
                <w:b/>
                <w:sz w:val="17"/>
              </w:rPr>
              <w:t>Sharing (r)</w:t>
            </w:r>
          </w:p>
        </w:tc>
        <w:tc>
          <w:tcPr>
            <w:tcW w:type="dxa" w:w="1337"/>
            <w:shd w:fill="D9EAF7"/>
          </w:tcPr>
          <w:p>
            <w:pPr>
              <w:spacing w:line="240" w:lineRule="auto"/>
            </w:pPr>
            <w:r>
              <w:rPr>
                <w:rFonts w:ascii="Arial" w:hAnsi="Arial"/>
                <w:b/>
                <w:sz w:val="17"/>
              </w:rPr>
              <w:t>z-score</w:t>
            </w:r>
          </w:p>
        </w:tc>
      </w:tr>
      <w:tr>
        <w:tc>
          <w:tcPr>
            <w:tcW w:type="dxa" w:w="1337"/>
          </w:tcPr>
          <w:p>
            <w:pPr>
              <w:spacing w:line="240" w:lineRule="auto"/>
            </w:pPr>
            <w:r>
              <w:rPr>
                <w:rFonts w:ascii="Arial" w:hAnsi="Arial"/>
                <w:b w:val="0"/>
                <w:sz w:val="17"/>
              </w:rPr>
              <w:t>No qualifying pair</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No z&gt;2 and q&lt;0.10 result</w:t>
            </w:r>
          </w:p>
        </w:tc>
      </w:tr>
    </w:tbl>
    <w:p>
      <w:pPr>
        <w:spacing w:line="240" w:lineRule="auto"/>
      </w:pPr>
      <w:r>
        <w:rPr>
          <w:sz w:val="18"/>
        </w:rPr>
        <w:t>Note. The prespecified family contains all non-admixed population pairs. No pair met both z&gt;2 and Benjamini-Hochberg q&lt;0.10; the Denisovan analysis likewise identified no qualifying pair. Complete nominal rankings and dependence-aware model results are provided in Supplementary Data.</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335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6; Table 2).</w:t>
      </w:r>
    </w:p>
    <w:p>
      <w:pPr>
        <w:spacing w:before="320"/>
        <w:jc w:val="center"/>
      </w:pPr>
      <w:r>
        <w:drawing>
          <wp:inline xmlns:a="http://schemas.openxmlformats.org/drawingml/2006/main" xmlns:pic="http://schemas.openxmlformats.org/drawingml/2006/picture">
            <wp:extent cx="5806440" cy="2332323"/>
            <wp:docPr id="6" name="Picture 6"/>
            <wp:cNvGraphicFramePr>
              <a:graphicFrameLocks noChangeAspect="1"/>
            </wp:cNvGraphicFramePr>
            <a:graphic>
              <a:graphicData uri="http://schemas.openxmlformats.org/drawingml/2006/picture">
                <pic:pic>
                  <pic:nvPicPr>
                    <pic:cNvPr id="0" name="fig5_abo_sublineage.png"/>
                    <pic:cNvPicPr/>
                  </pic:nvPicPr>
                  <pic:blipFill>
                    <a:blip r:embed="rId14"/>
                    <a:stretch>
                      <a:fillRect/>
                    </a:stretch>
                  </pic:blipFill>
                  <pic:spPr>
                    <a:xfrm>
                      <a:off x="0" y="0"/>
                      <a:ext cx="5806440" cy="2332323"/>
                    </a:xfrm>
                    <a:prstGeom prst="rect"/>
                  </pic:spPr>
                </pic:pic>
              </a:graphicData>
            </a:graphic>
          </wp:inline>
        </w:drawing>
      </w:r>
    </w:p>
    <w:p>
      <w:pPr>
        <w:spacing w:before="200" w:line="276" w:lineRule="auto"/>
      </w:pPr>
      <w:r>
        <w:rPr>
          <w:b/>
        </w:rPr>
        <w:t xml:space="preserve">Figure 6.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spacing w:before="280"/>
      </w:pPr>
      <w:r>
        <w:rPr>
          <w:b/>
        </w:rPr>
        <w:t>Table 2. ABO-window Neanderthal-reference composition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AF7"/>
          </w:tcPr>
          <w:p>
            <w:pPr>
              <w:spacing w:line="240" w:lineRule="auto"/>
            </w:pPr>
            <w:r>
              <w:rPr>
                <w:rFonts w:ascii="Arial" w:hAnsi="Arial"/>
                <w:b/>
                <w:sz w:val="17"/>
              </w:rPr>
              <w:t>Region</w:t>
            </w:r>
          </w:p>
        </w:tc>
        <w:tc>
          <w:tcPr>
            <w:tcW w:type="dxa" w:w="1872"/>
            <w:shd w:fill="D9EAF7"/>
          </w:tcPr>
          <w:p>
            <w:pPr>
              <w:spacing w:line="240" w:lineRule="auto"/>
            </w:pPr>
            <w:r>
              <w:rPr>
                <w:rFonts w:ascii="Arial" w:hAnsi="Arial"/>
                <w:b/>
                <w:sz w:val="17"/>
              </w:rPr>
              <w:t>n</w:t>
            </w:r>
          </w:p>
        </w:tc>
        <w:tc>
          <w:tcPr>
            <w:tcW w:type="dxa" w:w="1872"/>
            <w:shd w:fill="D9EAF7"/>
          </w:tcPr>
          <w:p>
            <w:pPr>
              <w:spacing w:line="240" w:lineRule="auto"/>
            </w:pPr>
            <w:r>
              <w:rPr>
                <w:rFonts w:ascii="Arial" w:hAnsi="Arial"/>
                <w:b/>
                <w:sz w:val="17"/>
              </w:rPr>
              <w:t>Altai %</w:t>
            </w:r>
          </w:p>
        </w:tc>
        <w:tc>
          <w:tcPr>
            <w:tcW w:type="dxa" w:w="1872"/>
            <w:shd w:fill="D9EAF7"/>
          </w:tcPr>
          <w:p>
            <w:pPr>
              <w:spacing w:line="240" w:lineRule="auto"/>
            </w:pPr>
            <w:r>
              <w:rPr>
                <w:rFonts w:ascii="Arial" w:hAnsi="Arial"/>
                <w:b/>
                <w:sz w:val="17"/>
              </w:rPr>
              <w:t>Vindija %</w:t>
            </w:r>
          </w:p>
        </w:tc>
        <w:tc>
          <w:tcPr>
            <w:tcW w:type="dxa" w:w="1872"/>
            <w:shd w:fill="D9EAF7"/>
          </w:tcPr>
          <w:p>
            <w:pPr>
              <w:spacing w:line="240" w:lineRule="auto"/>
            </w:pPr>
            <w:r>
              <w:rPr>
                <w:rFonts w:ascii="Arial" w:hAnsi="Arial"/>
                <w:b/>
                <w:sz w:val="17"/>
              </w:rPr>
              <w:t>Chagyrskaya %</w:t>
            </w:r>
          </w:p>
        </w:tc>
      </w:tr>
      <w:tr>
        <w:tc>
          <w:tcPr>
            <w:tcW w:type="dxa" w:w="1872"/>
          </w:tcPr>
          <w:p>
            <w:pPr>
              <w:spacing w:line="240" w:lineRule="auto"/>
            </w:pPr>
            <w:r>
              <w:rPr>
                <w:rFonts w:ascii="Arial" w:hAnsi="Arial"/>
                <w:b w:val="0"/>
                <w:sz w:val="17"/>
              </w:rPr>
              <w:t>East Asia</w:t>
            </w:r>
          </w:p>
        </w:tc>
        <w:tc>
          <w:tcPr>
            <w:tcW w:type="dxa" w:w="1872"/>
          </w:tcPr>
          <w:p>
            <w:pPr>
              <w:spacing w:line="240" w:lineRule="auto"/>
            </w:pPr>
            <w:r>
              <w:rPr>
                <w:rFonts w:ascii="Arial" w:hAnsi="Arial"/>
                <w:b w:val="0"/>
                <w:sz w:val="17"/>
              </w:rPr>
              <w:t>57</w:t>
            </w:r>
          </w:p>
        </w:tc>
        <w:tc>
          <w:tcPr>
            <w:tcW w:type="dxa" w:w="1872"/>
          </w:tcPr>
          <w:p>
            <w:pPr>
              <w:spacing w:line="240" w:lineRule="auto"/>
            </w:pPr>
            <w:r>
              <w:rPr>
                <w:rFonts w:ascii="Arial" w:hAnsi="Arial"/>
                <w:b w:val="0"/>
                <w:sz w:val="17"/>
              </w:rPr>
              <w:t>54.4</w:t>
            </w:r>
          </w:p>
        </w:tc>
        <w:tc>
          <w:tcPr>
            <w:tcW w:type="dxa" w:w="1872"/>
          </w:tcPr>
          <w:p>
            <w:pPr>
              <w:spacing w:line="240" w:lineRule="auto"/>
            </w:pPr>
            <w:r>
              <w:rPr>
                <w:rFonts w:ascii="Arial" w:hAnsi="Arial"/>
                <w:b w:val="0"/>
                <w:sz w:val="17"/>
              </w:rPr>
              <w:t>1.8</w:t>
            </w:r>
          </w:p>
        </w:tc>
        <w:tc>
          <w:tcPr>
            <w:tcW w:type="dxa" w:w="1872"/>
          </w:tcPr>
          <w:p>
            <w:pPr>
              <w:spacing w:line="240" w:lineRule="auto"/>
            </w:pPr>
            <w:r>
              <w:rPr>
                <w:rFonts w:ascii="Arial" w:hAnsi="Arial"/>
                <w:b w:val="0"/>
                <w:sz w:val="17"/>
              </w:rPr>
              <w:t>43.9</w:t>
            </w:r>
          </w:p>
        </w:tc>
      </w:tr>
      <w:tr>
        <w:tc>
          <w:tcPr>
            <w:tcW w:type="dxa" w:w="1872"/>
          </w:tcPr>
          <w:p>
            <w:pPr>
              <w:spacing w:line="240" w:lineRule="auto"/>
            </w:pPr>
            <w:r>
              <w:rPr>
                <w:rFonts w:ascii="Arial" w:hAnsi="Arial"/>
                <w:b w:val="0"/>
                <w:sz w:val="17"/>
              </w:rPr>
              <w:t>Europe</w:t>
            </w:r>
          </w:p>
        </w:tc>
        <w:tc>
          <w:tcPr>
            <w:tcW w:type="dxa" w:w="1872"/>
          </w:tcPr>
          <w:p>
            <w:pPr>
              <w:spacing w:line="240" w:lineRule="auto"/>
            </w:pPr>
            <w:r>
              <w:rPr>
                <w:rFonts w:ascii="Arial" w:hAnsi="Arial"/>
                <w:b w:val="0"/>
                <w:sz w:val="17"/>
              </w:rPr>
              <w:t>275</w:t>
            </w:r>
          </w:p>
        </w:tc>
        <w:tc>
          <w:tcPr>
            <w:tcW w:type="dxa" w:w="1872"/>
          </w:tcPr>
          <w:p>
            <w:pPr>
              <w:spacing w:line="240" w:lineRule="auto"/>
            </w:pPr>
            <w:r>
              <w:rPr>
                <w:rFonts w:ascii="Arial" w:hAnsi="Arial"/>
                <w:b w:val="0"/>
                <w:sz w:val="17"/>
              </w:rPr>
              <w:t>7.3</w:t>
            </w:r>
          </w:p>
        </w:tc>
        <w:tc>
          <w:tcPr>
            <w:tcW w:type="dxa" w:w="1872"/>
          </w:tcPr>
          <w:p>
            <w:pPr>
              <w:spacing w:line="240" w:lineRule="auto"/>
            </w:pPr>
            <w:r>
              <w:rPr>
                <w:rFonts w:ascii="Arial" w:hAnsi="Arial"/>
                <w:b w:val="0"/>
                <w:sz w:val="17"/>
              </w:rPr>
              <w:t>46.5</w:t>
            </w:r>
          </w:p>
        </w:tc>
        <w:tc>
          <w:tcPr>
            <w:tcW w:type="dxa" w:w="1872"/>
          </w:tcPr>
          <w:p>
            <w:pPr>
              <w:spacing w:line="240" w:lineRule="auto"/>
            </w:pPr>
            <w:r>
              <w:rPr>
                <w:rFonts w:ascii="Arial" w:hAnsi="Arial"/>
                <w:b w:val="0"/>
                <w:sz w:val="17"/>
              </w:rPr>
              <w:t>46.2</w:t>
            </w:r>
          </w:p>
        </w:tc>
      </w:tr>
      <w:tr>
        <w:tc>
          <w:tcPr>
            <w:tcW w:type="dxa" w:w="1872"/>
          </w:tcPr>
          <w:p>
            <w:pPr>
              <w:spacing w:line="240" w:lineRule="auto"/>
            </w:pPr>
            <w:r>
              <w:rPr>
                <w:rFonts w:ascii="Arial" w:hAnsi="Arial"/>
                <w:b w:val="0"/>
                <w:sz w:val="17"/>
              </w:rPr>
              <w:t>Indigenous Americas</w:t>
            </w:r>
          </w:p>
        </w:tc>
        <w:tc>
          <w:tcPr>
            <w:tcW w:type="dxa" w:w="1872"/>
          </w:tcPr>
          <w:p>
            <w:pPr>
              <w:spacing w:line="240" w:lineRule="auto"/>
            </w:pPr>
            <w:r>
              <w:rPr>
                <w:rFonts w:ascii="Arial" w:hAnsi="Arial"/>
                <w:b w:val="0"/>
                <w:sz w:val="17"/>
              </w:rPr>
              <w:t>2</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c>
          <w:tcPr>
            <w:tcW w:type="dxa" w:w="1872"/>
          </w:tcPr>
          <w:p>
            <w:pPr>
              <w:spacing w:line="240" w:lineRule="auto"/>
            </w:pPr>
            <w:r>
              <w:rPr>
                <w:rFonts w:ascii="Arial" w:hAnsi="Arial"/>
                <w:b w:val="0"/>
                <w:sz w:val="17"/>
              </w:rPr>
              <w:t>0.0</w:t>
            </w:r>
          </w:p>
        </w:tc>
      </w:tr>
      <w:tr>
        <w:tc>
          <w:tcPr>
            <w:tcW w:type="dxa" w:w="1872"/>
          </w:tcPr>
          <w:p>
            <w:pPr>
              <w:spacing w:line="240" w:lineRule="auto"/>
            </w:pPr>
            <w:r>
              <w:rPr>
                <w:rFonts w:ascii="Arial" w:hAnsi="Arial"/>
                <w:b w:val="0"/>
                <w:sz w:val="17"/>
              </w:rPr>
              <w:t>Admixed Americas</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3.1</w:t>
            </w:r>
          </w:p>
        </w:tc>
        <w:tc>
          <w:tcPr>
            <w:tcW w:type="dxa" w:w="1872"/>
          </w:tcPr>
          <w:p>
            <w:pPr>
              <w:spacing w:line="240" w:lineRule="auto"/>
            </w:pPr>
            <w:r>
              <w:rPr>
                <w:rFonts w:ascii="Arial" w:hAnsi="Arial"/>
                <w:b w:val="0"/>
                <w:sz w:val="17"/>
              </w:rPr>
              <w:t>61.2</w:t>
            </w:r>
          </w:p>
        </w:tc>
        <w:tc>
          <w:tcPr>
            <w:tcW w:type="dxa" w:w="1872"/>
          </w:tcPr>
          <w:p>
            <w:pPr>
              <w:spacing w:line="240" w:lineRule="auto"/>
            </w:pPr>
            <w:r>
              <w:rPr>
                <w:rFonts w:ascii="Arial" w:hAnsi="Arial"/>
                <w:b w:val="0"/>
                <w:sz w:val="17"/>
              </w:rPr>
              <w:t>35.7</w:t>
            </w:r>
          </w:p>
        </w:tc>
      </w:tr>
      <w:tr>
        <w:tc>
          <w:tcPr>
            <w:tcW w:type="dxa" w:w="1872"/>
          </w:tcPr>
          <w:p>
            <w:pPr>
              <w:spacing w:line="240" w:lineRule="auto"/>
            </w:pPr>
            <w:r>
              <w:rPr>
                <w:rFonts w:ascii="Arial" w:hAnsi="Arial"/>
                <w:b w:val="0"/>
                <w:sz w:val="17"/>
              </w:rPr>
              <w:t>Central/South Asia</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9.2</w:t>
            </w:r>
          </w:p>
        </w:tc>
        <w:tc>
          <w:tcPr>
            <w:tcW w:type="dxa" w:w="1872"/>
          </w:tcPr>
          <w:p>
            <w:pPr>
              <w:spacing w:line="240" w:lineRule="auto"/>
            </w:pPr>
            <w:r>
              <w:rPr>
                <w:rFonts w:ascii="Arial" w:hAnsi="Arial"/>
                <w:b w:val="0"/>
                <w:sz w:val="17"/>
              </w:rPr>
              <w:t>44.9</w:t>
            </w:r>
          </w:p>
        </w:tc>
        <w:tc>
          <w:tcPr>
            <w:tcW w:type="dxa" w:w="1872"/>
          </w:tcPr>
          <w:p>
            <w:pPr>
              <w:spacing w:line="240" w:lineRule="auto"/>
            </w:pPr>
            <w:r>
              <w:rPr>
                <w:rFonts w:ascii="Arial" w:hAnsi="Arial"/>
                <w:b w:val="0"/>
                <w:sz w:val="17"/>
              </w:rPr>
              <w:t>45.9</w:t>
            </w:r>
          </w:p>
        </w:tc>
      </w:tr>
      <w:tr>
        <w:tc>
          <w:tcPr>
            <w:tcW w:type="dxa" w:w="1872"/>
          </w:tcPr>
          <w:p>
            <w:pPr>
              <w:spacing w:line="240" w:lineRule="auto"/>
            </w:pPr>
            <w:r>
              <w:rPr>
                <w:rFonts w:ascii="Arial" w:hAnsi="Arial"/>
                <w:b w:val="0"/>
                <w:sz w:val="17"/>
              </w:rPr>
              <w:t>Middle East</w:t>
            </w:r>
          </w:p>
        </w:tc>
        <w:tc>
          <w:tcPr>
            <w:tcW w:type="dxa" w:w="1872"/>
          </w:tcPr>
          <w:p>
            <w:pPr>
              <w:spacing w:line="240" w:lineRule="auto"/>
            </w:pPr>
            <w:r>
              <w:rPr>
                <w:rFonts w:ascii="Arial" w:hAnsi="Arial"/>
                <w:b w:val="0"/>
                <w:sz w:val="17"/>
              </w:rPr>
              <w:t>44</w:t>
            </w:r>
          </w:p>
        </w:tc>
        <w:tc>
          <w:tcPr>
            <w:tcW w:type="dxa" w:w="1872"/>
          </w:tcPr>
          <w:p>
            <w:pPr>
              <w:spacing w:line="240" w:lineRule="auto"/>
            </w:pPr>
            <w:r>
              <w:rPr>
                <w:rFonts w:ascii="Arial" w:hAnsi="Arial"/>
                <w:b w:val="0"/>
                <w:sz w:val="17"/>
              </w:rPr>
              <w:t>11.4</w:t>
            </w:r>
          </w:p>
        </w:tc>
        <w:tc>
          <w:tcPr>
            <w:tcW w:type="dxa" w:w="1872"/>
          </w:tcPr>
          <w:p>
            <w:pPr>
              <w:spacing w:line="240" w:lineRule="auto"/>
            </w:pPr>
            <w:r>
              <w:rPr>
                <w:rFonts w:ascii="Arial" w:hAnsi="Arial"/>
                <w:b w:val="0"/>
                <w:sz w:val="17"/>
              </w:rPr>
              <w:t>52.3</w:t>
            </w:r>
          </w:p>
        </w:tc>
        <w:tc>
          <w:tcPr>
            <w:tcW w:type="dxa" w:w="1872"/>
          </w:tcPr>
          <w:p>
            <w:pPr>
              <w:spacing w:line="240" w:lineRule="auto"/>
            </w:pPr>
            <w:r>
              <w:rPr>
                <w:rFonts w:ascii="Arial" w:hAnsi="Arial"/>
                <w:b w:val="0"/>
                <w:sz w:val="17"/>
              </w:rPr>
              <w:t>36.4</w:t>
            </w:r>
          </w:p>
        </w:tc>
      </w:tr>
      <w:tr>
        <w:tc>
          <w:tcPr>
            <w:tcW w:type="dxa" w:w="1872"/>
          </w:tcPr>
          <w:p>
            <w:pPr>
              <w:spacing w:line="240" w:lineRule="auto"/>
            </w:pPr>
            <w:r>
              <w:rPr>
                <w:rFonts w:ascii="Arial" w:hAnsi="Arial"/>
                <w:b w:val="0"/>
                <w:sz w:val="17"/>
              </w:rPr>
              <w:t>Oceania</w:t>
            </w:r>
          </w:p>
        </w:tc>
        <w:tc>
          <w:tcPr>
            <w:tcW w:type="dxa" w:w="1872"/>
          </w:tcPr>
          <w:p>
            <w:pPr>
              <w:spacing w:line="240" w:lineRule="auto"/>
            </w:pPr>
            <w:r>
              <w:rPr>
                <w:rFonts w:ascii="Arial" w:hAnsi="Arial"/>
                <w:b w:val="0"/>
                <w:sz w:val="17"/>
              </w:rPr>
              <w:t>13</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r>
    </w:tbl>
    <w:p>
      <w:pPr>
        <w:spacing w:line="240" w:lineRule="auto"/>
      </w:pPr>
      <w:r>
        <w:rPr>
          <w:sz w:val="18"/>
        </w:rPr>
        <w:t>Note. Counts are classifiable segments, not individuals. Percentages use the three-reference denominator shown by n. Equal maximum-similarity ties are excluded from these percentages but retained in Supplementary Data. The 2/2 Indigenous American value is not a regional frequency estimate; only one segment overlaps ABO.</w:t>
      </w:r>
    </w:p>
    <w:p>
      <w:pPr>
        <w:pStyle w:val="Heading2"/>
      </w:pPr>
      <w:r>
        <w:t>ABO-related and global contextual figures</w:t>
      </w:r>
    </w:p>
    <w:p>
      <w:pPr>
        <w:ind w:firstLine="432"/>
      </w:pPr>
      <w:r>
        <w:rPr>
          <w:rFonts w:ascii="Times New Roman" w:hAnsi="Times New Roman"/>
          <w:i w:val="0"/>
          <w:sz w:val="24"/>
        </w:rPr>
        <w:t>The O2-defining allele and ABO-window carrier summaries use different sources and are displayed descriptively rather than as an association analysis (Figure 7). The Ancient North Eurasian pathway is retained as a testable contextual hypothesis, not a route inferred from the two Indigenous American segment records (Figure 8). Ancient and modern ABO-window observations were produced by different pipelines and permit no formal temporal comparison (Figure 9). A literature-derived global bivariate map provides broad Neanderthal and Denisovan ancestry context; its approximate values were not used in the statistical models (Figure 10).</w:t>
      </w:r>
    </w:p>
    <w:p>
      <w:pPr>
        <w:spacing w:before="320"/>
        <w:jc w:val="center"/>
      </w:pPr>
      <w:r>
        <w:drawing>
          <wp:inline xmlns:a="http://schemas.openxmlformats.org/drawingml/2006/main" xmlns:pic="http://schemas.openxmlformats.org/drawingml/2006/picture">
            <wp:extent cx="5806440" cy="2537619"/>
            <wp:docPr id="7" name="Picture 7"/>
            <wp:cNvGraphicFramePr>
              <a:graphicFrameLocks noChangeAspect="1"/>
            </wp:cNvGraphicFramePr>
            <a:graphic>
              <a:graphicData uri="http://schemas.openxmlformats.org/drawingml/2006/picture">
                <pic:pic>
                  <pic:nvPicPr>
                    <pic:cNvPr id="0" name="fig6_o2_introgression.png"/>
                    <pic:cNvPicPr/>
                  </pic:nvPicPr>
                  <pic:blipFill>
                    <a:blip r:embed="rId15"/>
                    <a:stretch>
                      <a:fillRect/>
                    </a:stretch>
                  </pic:blipFill>
                  <pic:spPr>
                    <a:xfrm>
                      <a:off x="0" y="0"/>
                      <a:ext cx="5806440" cy="2537619"/>
                    </a:xfrm>
                    <a:prstGeom prst="rect"/>
                  </pic:spPr>
                </pic:pic>
              </a:graphicData>
            </a:graphic>
          </wp:inline>
        </w:drawing>
      </w:r>
    </w:p>
    <w:p>
      <w:pPr>
        <w:spacing w:before="200" w:line="276" w:lineRule="auto"/>
      </w:pPr>
      <w:r>
        <w:rPr>
          <w:b/>
        </w:rPr>
        <w:t xml:space="preserve">Figure 7. </w:t>
      </w:r>
      <w:r>
        <w:t>O2 blood-group subtype-defining allele frequencies and ABO-window segment-carrier frequencies. The panels use different sources and are not an association analysis; proximity does not establish that the O2 allele is Neanderthal-derived.</w:t>
      </w:r>
    </w:p>
    <w:p>
      <w:pPr>
        <w:spacing w:before="320"/>
        <w:jc w:val="center"/>
      </w:pPr>
      <w:r>
        <w:drawing>
          <wp:inline xmlns:a="http://schemas.openxmlformats.org/drawingml/2006/main" xmlns:pic="http://schemas.openxmlformats.org/drawingml/2006/picture">
            <wp:extent cx="5806440" cy="3733910"/>
            <wp:docPr id="8" name="Picture 8"/>
            <wp:cNvGraphicFramePr>
              <a:graphicFrameLocks noChangeAspect="1"/>
            </wp:cNvGraphicFramePr>
            <a:graphic>
              <a:graphicData uri="http://schemas.openxmlformats.org/drawingml/2006/picture">
                <pic:pic>
                  <pic:nvPicPr>
                    <pic:cNvPr id="0" name="fig7_ane_model.png"/>
                    <pic:cNvPicPr/>
                  </pic:nvPicPr>
                  <pic:blipFill>
                    <a:blip r:embed="rId16"/>
                    <a:stretch>
                      <a:fillRect/>
                    </a:stretch>
                  </pic:blipFill>
                  <pic:spPr>
                    <a:xfrm>
                      <a:off x="0" y="0"/>
                      <a:ext cx="5806440" cy="3733910"/>
                    </a:xfrm>
                    <a:prstGeom prst="rect"/>
                  </pic:spPr>
                </pic:pic>
              </a:graphicData>
            </a:graphic>
          </wp:inline>
        </w:drawing>
      </w:r>
    </w:p>
    <w:p>
      <w:pPr>
        <w:spacing w:before="200" w:line="276" w:lineRule="auto"/>
      </w:pPr>
      <w:r>
        <w:rPr>
          <w:b/>
        </w:rPr>
        <w:t xml:space="preserve">Figure 8. </w:t>
      </w:r>
      <w:r>
        <w:t>Ancient North Eurasian contextual hypothesis. Dashed arrows represent a testable narrative, not evidence that either observed segment followed the illustrated route.</w:t>
      </w:r>
    </w:p>
    <w:p>
      <w:pPr>
        <w:spacing w:before="320"/>
        <w:jc w:val="center"/>
      </w:pPr>
      <w:r>
        <w:drawing>
          <wp:inline xmlns:a="http://schemas.openxmlformats.org/drawingml/2006/main" xmlns:pic="http://schemas.openxmlformats.org/drawingml/2006/picture">
            <wp:extent cx="5806440" cy="2930000"/>
            <wp:docPr id="9" name="Picture 9"/>
            <wp:cNvGraphicFramePr>
              <a:graphicFrameLocks noChangeAspect="1"/>
            </wp:cNvGraphicFramePr>
            <a:graphic>
              <a:graphicData uri="http://schemas.openxmlformats.org/drawingml/2006/picture">
                <pic:pic>
                  <pic:nvPicPr>
                    <pic:cNvPr id="0" name="fig8_temporal_dynamics.png"/>
                    <pic:cNvPicPr/>
                  </pic:nvPicPr>
                  <pic:blipFill>
                    <a:blip r:embed="rId17"/>
                    <a:stretch>
                      <a:fillRect/>
                    </a:stretch>
                  </pic:blipFill>
                  <pic:spPr>
                    <a:xfrm>
                      <a:off x="0" y="0"/>
                      <a:ext cx="5806440" cy="2930000"/>
                    </a:xfrm>
                    <a:prstGeom prst="rect"/>
                  </pic:spPr>
                </pic:pic>
              </a:graphicData>
            </a:graphic>
          </wp:inline>
        </w:drawing>
      </w:r>
    </w:p>
    <w:p>
      <w:pPr>
        <w:spacing w:before="200" w:line="276" w:lineRule="auto"/>
      </w:pPr>
      <w:r>
        <w:rPr>
          <w:b/>
        </w:rPr>
        <w:t xml:space="preserve">Figure 9. </w:t>
      </w:r>
      <w:r>
        <w:t>Descriptive ancient and modern ABO-window summaries generated by different pipelines; no formal temporal comparison is made.</w:t>
      </w:r>
    </w:p>
    <w:p>
      <w:pPr>
        <w:spacing w:before="320"/>
        <w:jc w:val="center"/>
      </w:pPr>
      <w:r>
        <w:drawing>
          <wp:inline xmlns:a="http://schemas.openxmlformats.org/drawingml/2006/main" xmlns:pic="http://schemas.openxmlformats.org/drawingml/2006/picture">
            <wp:extent cx="5806440" cy="3516467"/>
            <wp:docPr id="10" name="Picture 10"/>
            <wp:cNvGraphicFramePr>
              <a:graphicFrameLocks noChangeAspect="1"/>
            </wp:cNvGraphicFramePr>
            <a:graphic>
              <a:graphicData uri="http://schemas.openxmlformats.org/drawingml/2006/picture">
                <pic:pic>
                  <pic:nvPicPr>
                    <pic:cNvPr id="0" name="fig9_bivariate_world_map.png"/>
                    <pic:cNvPicPr/>
                  </pic:nvPicPr>
                  <pic:blipFill>
                    <a:blip r:embed="rId18"/>
                    <a:stretch>
                      <a:fillRect/>
                    </a:stretch>
                  </pic:blipFill>
                  <pic:spPr>
                    <a:xfrm>
                      <a:off x="0" y="0"/>
                      <a:ext cx="5806440" cy="3516467"/>
                    </a:xfrm>
                    <a:prstGeom prst="rect"/>
                  </pic:spPr>
                </pic:pic>
              </a:graphicData>
            </a:graphic>
          </wp:inline>
        </w:drawing>
      </w:r>
    </w:p>
    <w:p>
      <w:pPr>
        <w:spacing w:before="200" w:line="276" w:lineRule="auto"/>
      </w:pPr>
      <w:r>
        <w:rPr>
          <w:b/>
        </w:rPr>
        <w:t xml:space="preserve">Figure 10. </w:t>
      </w:r>
      <w:r>
        <w:t>Literature-derived global context. Circle size represents approximate Neanderthal ancestry and color intensity represents approximate Denisovan ancestry. Values were not used in the pairwise statistical models.</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The result supports a descriptive relationship between geography and the genomic distribution of inferred archaic segments. It does not establish an exceptional population pair, an ABO-mediated migration history, or a specific route through Beringia or island Southeast Asia.</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ajba-critical-revision-2026-07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spacing w:line="276" w:lineRule="auto" w:after="80"/>
        <w:ind w:hanging="360" w:left="360"/>
      </w:pPr>
      <w:r>
        <w:rPr>
          <w:sz w:val="20"/>
        </w:rPr>
        <w:t>Turner, Trudy R. 2025. “Changes to Submissions to the AJBA.” American Journal of Biological Anthropology 186: e70026. https://doi.org/10.1002/ajpa.70026.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distance decay in population-level Neanderthal and Denisovan segment profiles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