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Population-level replacement of interferon-based standard therapy for hepatitis C after interferon-free direct-acting antivirals: a new-treatment-anticipation / practical-drug-lag analysis of Japan's NDB Open Data</w:t>
      </w:r>
    </w:p>
    <w:p>
      <w:pPr>
        <w:pStyle w:val="Heading1"/>
      </w:pPr>
      <w:r>
        <w:t>Abstract</w:t>
      </w:r>
    </w:p>
    <w:p>
      <w:r>
        <w:rPr>
          <w:b/>
        </w:rPr>
        <w:t xml:space="preserve">Background: </w:t>
      </w:r>
      <w:r>
        <w:t xml:space="preserve">If population-level anticipation of a newly reported/reimbursed treatment is real, use of the prior standard therapy should fall sharply once the awaited option arrives; if not, either the anticipation/practical lag is absent or decision-makers are not reacting to the news. </w:t>
      </w:r>
      <w:r>
        <w:rPr>
          <w:b/>
        </w:rPr>
        <w:t xml:space="preserve">Methods: </w:t>
      </w:r>
      <w:r>
        <w:t xml:space="preserve">Using Japan's NDB Open Data (2014-2023), we tracked national dispensed quantity of interferon (IFN)-based standard therapy (peginterferon, ribavirin) and of interferon-free direct-acting antivirals (DAAs) for hepatitis C, against official approval/reimbursement milestones. </w:t>
      </w:r>
      <w:r>
        <w:rPr>
          <w:b/>
        </w:rPr>
        <w:t xml:space="preserve">Results: </w:t>
      </w:r>
      <w:r>
        <w:t xml:space="preserve">Peginterferon dispensing fell 99.2% from FY2014 to FY2023; ribavirin reached near-zero by FY2018. Total DAA dispensing peaked in FY2015 (19.5 million units, +158% vs FY2014) and then fell 92% by FY2023. </w:t>
      </w:r>
      <w:r>
        <w:rPr>
          <w:b/>
        </w:rPr>
        <w:t xml:space="preserve">Conclusion: </w:t>
      </w:r>
      <w:r>
        <w:t>The IFN-based standard therapy was replaced at the population level within about two years, and the DAA surge-then-decay is consistent with a finite pool of long-waiting patients being treated in a burst (pent-up demand) rather than steady substitution.</w:t>
      </w:r>
    </w:p>
    <w:p>
      <w:pPr>
        <w:pStyle w:val="Heading1"/>
      </w:pPr>
      <w:r>
        <w:t>Introduction</w:t>
      </w:r>
    </w:p>
    <w:p>
      <w:r>
        <w:t>When a new therapy is announced through the media or scheduled for reimbursement, advocates of the new treatment expect a population-wide shift away from the current standard of care. Chronic hepatitis C offers an unusually clean natural experiment: interferon-based therapy was the standard until interferon-free DAAs arrived in Japan in 2014-2015, when daclatasvir plus asunaprevir became the world's first all-oral, interferon- and ribavirin-free regimen</w:t>
      </w:r>
      <w:r>
        <w:rPr>
          <w:vertAlign w:val="superscript"/>
        </w:rPr>
        <w:t>1</w:t>
      </w:r>
      <w:r>
        <w:t>. We use nationwide dispensing counts from NDB Open Data</w:t>
      </w:r>
      <w:r>
        <w:rPr>
          <w:vertAlign w:val="superscript"/>
        </w:rPr>
        <w:t>2</w:t>
      </w:r>
      <w:r>
        <w:t xml:space="preserve"> to test whether the standard therapy was displaced at the population level around these announcement/reimbursement events.</w:t>
      </w:r>
    </w:p>
    <w:p>
      <w:pPr>
        <w:pStyle w:val="Heading1"/>
      </w:pPr>
      <w:r>
        <w:t>Methods</w:t>
      </w:r>
    </w:p>
    <w:p>
      <w:r>
        <w:t>We used NDB Open Data editions 1-10 (fiscal years 2014-2023)</w:t>
      </w:r>
      <w:r>
        <w:rPr>
          <w:vertAlign w:val="superscript"/>
        </w:rPr>
        <w:t>2</w:t>
      </w:r>
      <w:r>
        <w:t>, extracting the national total dispensed quantity (総計/処方数量) for each drug from the sex- and age-stratified prescription-drug tables (oral, topical, injectable). Drugs were classified by their actual product names into IFN-based standard therapy (peginterferon, ribavirin) and 12 interferon-free DAA products. Conventional interferon is reported separately because it is not hepatitis-C-specific. The metric is dispensed quantity (tablets/capsules for oral drugs, syringes/vials for injections), not a patient count, and is compared within a product over time. Official approval and NHI drug-price listing milestones</w:t>
      </w:r>
      <w:r>
        <w:rPr>
          <w:vertAlign w:val="superscript"/>
        </w:rPr>
        <w:t>1,3</w:t>
      </w:r>
      <w:r>
        <w:t xml:space="preserve"> were used as intervention markers at fiscal-year resolution (Table 1). Analyses are descriptive; the full pipeline (download -&gt; build -&gt; analyze -&gt; figures) is openly reproducible.</w:t>
      </w:r>
    </w:p>
    <w:p>
      <w:pPr>
        <w:spacing w:before="280"/>
      </w:pPr>
      <w:r>
        <w:rPr>
          <w:b/>
          <w:sz w:val="18"/>
        </w:rPr>
        <w:t>Table 1. Official approval / NHI drug-price listing milestones used as intervention markers.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5"/>
              </w:rPr>
              <w:t>FY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Drug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Milestone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2014-07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daclatasvir + asunaprevir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Bristol-Myers Squibb K.K. press release 2014-07-04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2014-09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daclatasvir + asunaprevir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NHI listing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MHLW/Chuikyo NHI drug-price listing FY2014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sofosbuvir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PMDA new-drug approval / Gilead Sciences K.K. press release (2015-03)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sofosbuvir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NHI listing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MHLW/Chuikyo NHI drug-price listing (2015-05)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ledipasvir/sofosbuvir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PMDA new-drug approval / Gilead Sciences K.K. press release (2015-07)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2015-08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ledipasvir/sofosbuvir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NHI listing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MHLW/Chuikyo NHI drug-price listing (2015-08)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2017-09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glecaprevir/pibrentasvir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PMDA new-drug approval / AbbVie GK press release (2017-09)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2017-11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glecaprevir/pibrentasvir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NHI listing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MHLW/Chuikyo NHI drug-price listing (2017-11)</w:t>
            </w:r>
          </w:p>
        </w:tc>
      </w:tr>
    </w:tbl>
    <w:p>
      <w:pPr>
        <w:pStyle w:val="Heading1"/>
      </w:pPr>
      <w:r>
        <w:t>Results</w:t>
      </w:r>
    </w:p>
    <w:p>
      <w:r>
        <w:t>The interferon-based standard therapy collapsed after IFN-free DAAs became available (Fig. 1). Peginterferon dispensing fell 99.2% from FY2014 to FY2023, and ribavirin reached near-zero by FY2018.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ifn_collapse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  <w:sz w:val="18"/>
        </w:rPr>
        <w:t>Fig. 1. Collapse of interferon-based standard therapy (indexed to FY2014 = 100) with total DAA dispensed quantity and dated announcement markers.</w:t>
      </w:r>
    </w:p>
    <w:p>
      <w:r>
        <w:t>DAA use itself showed a surge-then-decay pattern (Fig. 2): total DAA dispensing peaked in FY2015 at 19.5 million units (+158% vs FY2014) and then declined 92% to 1.5 million units by FY2023, with successive products replacing earlier 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aa_wave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  <w:sz w:val="18"/>
        </w:rPr>
        <w:t>Fig. 2. The DAA wave: dispensed quantity by product.</w:t>
      </w:r>
    </w:p>
    <w:p>
      <w:pPr>
        <w:pStyle w:val="Heading1"/>
      </w:pPr>
      <w:r>
        <w:t>Discussion</w:t>
      </w:r>
    </w:p>
    <w:p>
      <w:r>
        <w:t>For hepatitis C DAAs there was no population-level practical lag: the standard therapy was displaced within about two years of the announcements/listings, indicating that decision-makers reacted rapidly. The DAA surge-then-decay is consistent with a finite stock of long-waiting patients being cured in a burst (pent-up demand) rather than a steady replacement flow. This is descriptive evidence supporting the anticipation hypothesis; it does not by itself establish that media coverage caused individual treatment choices.</w:t>
      </w:r>
    </w:p>
    <w:p>
      <w:pPr>
        <w:pStyle w:val="Heading2"/>
      </w:pPr>
      <w:r>
        <w:t>Limitations</w:t>
      </w:r>
    </w:p>
    <w:p>
      <w:r>
        <w:t>NDB Open Data begins in FY2014, the same period IFN-free DAAs launched, so there is no pre-DAA interferon baseline within NDB; the FY2014 value already reflects decline from the pre-2014 peak. The metric is dispensed quantity, not patient counts, and units differ across products, so the summed DAA quantity is not a patient count. Data are annual, precluding within-year interrupted time-series or formal causal estimation, and no control condition or placebo event is included.</w:t>
      </w:r>
    </w:p>
    <w:p>
      <w:pPr>
        <w:pStyle w:val="Heading1"/>
      </w:pPr>
      <w:r>
        <w:t>Conclusion</w:t>
      </w:r>
    </w:p>
    <w:p>
      <w:r>
        <w:t>In hepatitis C, the interferon-based standard therapy was replaced at the population level within about two years of interferon-free DAAs, and the surge-then-decay of DAA use is consistent with realized pent-up demand. This supports the existence of population-level new-treatment anticipation for this case, while cautioning that the same pattern need not generalize to therapies with weaker anticipation or greater practical constraints.</w:t>
      </w:r>
    </w:p>
    <w:p>
      <w:pPr>
        <w:pStyle w:val="Heading1"/>
      </w:pPr>
      <w:r>
        <w:t>Data and code availability</w:t>
      </w:r>
    </w:p>
    <w:p>
      <w:r>
        <w:t>Raw NDB Open Data workbooks are publicly available from MHLW and are re-downloadable via scripts/download_ndb.py; derived datasets, analysis code and figure/manuscript generators are in the project repository.</w:t>
      </w:r>
    </w:p>
    <w:p>
      <w:pPr>
        <w:pStyle w:val="Heading1"/>
      </w:pPr>
      <w:r>
        <w:t>References</w:t>
      </w:r>
    </w:p>
    <w:p>
      <w:pPr>
        <w:ind w:left="432" w:hanging="432"/>
      </w:pPr>
      <w:r>
        <w:t>1. Bristol-Myers Squibb K.K. Press release: approval in Japan of the world's first all-oral, interferon- and ribavirin-free treatment for chronic hepatitis C (daclatasvir + asunaprevir). 4 July 2014.</w:t>
      </w:r>
    </w:p>
    <w:p>
      <w:pPr>
        <w:ind w:left="432" w:hanging="432"/>
      </w:pPr>
      <w:r>
        <w:t>2. Ministry of Health, Labour and Welfare (Japan). NDB Open Data (1st-10th editions). https://www.mhlw.go.jp/ndb/opendatasite/ (accessed for fiscal years 2014-2023).</w:t>
      </w:r>
    </w:p>
    <w:p>
      <w:pPr>
        <w:ind w:left="432" w:hanging="432"/>
      </w:pPr>
      <w:r>
        <w:t>3. Ministry of Health, Labour and Welfare / Central Social Insurance Medical Council (Chuikyo). NHI drug-price listings of direct-acting antivirals for hepatitis C (2014-2017).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