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Verdana" w:hAnsi="Verdana"/>
          <w:b w:val="0"/>
          <w:i w:val="0"/>
          <w:color w:val="FF0000"/>
          <w:sz w:val="20"/>
        </w:rPr>
        <w:t>[Date]</w:t>
      </w:r>
    </w:p>
    <w:p>
      <w:pPr>
        <w:spacing w:before="0" w:after="120"/>
      </w:pPr>
      <w:r>
        <w:rPr>
          <w:rFonts w:ascii="Verdana" w:hAnsi="Verdana"/>
          <w:b w:val="0"/>
          <w:i w:val="0"/>
          <w:sz w:val="20"/>
        </w:rPr>
      </w:r>
    </w:p>
    <w:p>
      <w:pPr>
        <w:spacing w:before="0" w:after="120"/>
      </w:pPr>
      <w:r>
        <w:rPr>
          <w:rFonts w:ascii="Verdana" w:hAnsi="Verdana"/>
          <w:b w:val="0"/>
          <w:i w:val="0"/>
          <w:sz w:val="20"/>
        </w:rPr>
        <w:t>Managing Editor</w:t>
      </w:r>
    </w:p>
    <w:p>
      <w:pPr>
        <w:spacing w:before="0" w:after="120"/>
      </w:pPr>
      <w:r>
        <w:rPr>
          <w:rFonts w:ascii="Verdana" w:hAnsi="Verdana"/>
          <w:b w:val="0"/>
          <w:i w:val="0"/>
          <w:sz w:val="20"/>
        </w:rPr>
        <w:t>Water Alternatives</w:t>
      </w:r>
    </w:p>
    <w:p>
      <w:pPr>
        <w:spacing w:before="0" w:after="120"/>
      </w:pPr>
      <w:r>
        <w:rPr>
          <w:rFonts w:ascii="Verdana" w:hAnsi="Verdana"/>
          <w:b w:val="0"/>
          <w:i w:val="0"/>
          <w:sz w:val="20"/>
        </w:rPr>
        <w:t>managing_editor@water-alternatives.org</w:t>
      </w:r>
    </w:p>
    <w:p>
      <w:pPr>
        <w:spacing w:before="0" w:after="120"/>
      </w:pPr>
      <w:r>
        <w:rPr>
          <w:rFonts w:ascii="Verdana" w:hAnsi="Verdana"/>
          <w:b w:val="0"/>
          <w:i w:val="0"/>
          <w:sz w:val="20"/>
        </w:rPr>
      </w:r>
    </w:p>
    <w:p>
      <w:pPr>
        <w:spacing w:before="0" w:after="120"/>
      </w:pPr>
      <w:r>
        <w:rPr>
          <w:rFonts w:ascii="Verdana" w:hAnsi="Verdana"/>
          <w:b/>
          <w:i w:val="0"/>
          <w:sz w:val="20"/>
        </w:rPr>
        <w:t>Re: Submission of Research Article — "Unilateral flood control through subsurface storage management: A hydro-political analysis of planned-release hydropower and inter-watershed groundwater transfer"</w:t>
      </w:r>
    </w:p>
    <w:p>
      <w:pPr>
        <w:spacing w:before="0" w:after="120"/>
      </w:pPr>
      <w:r>
        <w:rPr>
          <w:rFonts w:ascii="Verdana" w:hAnsi="Verdana"/>
          <w:b w:val="0"/>
          <w:i w:val="0"/>
          <w:sz w:val="20"/>
        </w:rPr>
      </w:r>
    </w:p>
    <w:p>
      <w:pPr>
        <w:spacing w:before="0" w:after="120"/>
      </w:pPr>
      <w:r>
        <w:rPr>
          <w:rFonts w:ascii="Verdana" w:hAnsi="Verdana"/>
          <w:b w:val="0"/>
          <w:i w:val="0"/>
          <w:sz w:val="20"/>
        </w:rPr>
        <w:t>Dear Managing Editor,</w:t>
      </w:r>
    </w:p>
    <w:p>
      <w:pPr>
        <w:spacing w:before="0" w:after="120"/>
      </w:pPr>
      <w:r>
        <w:rPr>
          <w:rFonts w:ascii="Verdana" w:hAnsi="Verdana"/>
          <w:b w:val="0"/>
          <w:i w:val="0"/>
          <w:sz w:val="20"/>
        </w:rPr>
      </w:r>
    </w:p>
    <w:p>
      <w:pPr>
        <w:spacing w:before="0" w:after="120"/>
      </w:pPr>
      <w:r>
        <w:rPr>
          <w:rFonts w:ascii="Verdana" w:hAnsi="Verdana"/>
          <w:b w:val="0"/>
          <w:i w:val="0"/>
          <w:sz w:val="20"/>
        </w:rPr>
        <w:t>We are pleased to submit the enclosed manuscript, entitled "Unilateral flood control through subsurface storage management: A hydro-political analysis of planned-release hydropower and inter-watershed groundwater transfer", for consideration as a Research Article in Water Alternatives.</w:t>
      </w:r>
    </w:p>
    <w:p>
      <w:pPr>
        <w:spacing w:before="0" w:after="120"/>
      </w:pPr>
      <w:r>
        <w:rPr>
          <w:rFonts w:ascii="Verdana" w:hAnsi="Verdana"/>
          <w:b w:val="0"/>
          <w:i w:val="0"/>
          <w:sz w:val="20"/>
        </w:rPr>
        <w:t>This paper proposes and analyses a novel flood control framework that integrates planned-release hydropower generation, inter-watershed groundwater pumping, and managed aquifer recharge into a single energy-positive system. The key contribution to the water governance literature is the concept of 'unilateral treatability' — the demonstration that downstream nations can implement effective flood control measures using subsurface storage within their own jurisdiction, without requiring upstream cooperation or transboundary agreements.</w:t>
      </w:r>
    </w:p>
    <w:p>
      <w:pPr>
        <w:spacing w:before="0" w:after="120"/>
      </w:pPr>
      <w:r>
        <w:rPr>
          <w:rFonts w:ascii="Verdana" w:hAnsi="Verdana"/>
          <w:b w:val="0"/>
          <w:i w:val="0"/>
          <w:sz w:val="20"/>
        </w:rPr>
        <w:t>We believe this manuscript is well suited to Water Alternatives for several reasons. First, it engages directly with the hydro-hegemony framework (Zeitoun and Warner, 2006), challenging the assumption that downstream states are inherently disadvantaged in transboundary flood management. Second, it bridges the gap between technical feasibility analysis and water governance scholarship, demonstrating how engineering innovation can reshape political dynamics in contested river basins. Third, the paper discusses implications for multiple transboundary systems — including the Mekong, Nile, Ganges-Brahmaputra-Meghna, Indus, Tigris-Euphrates, and Jordan basins — as well as deltaic and arid-region applications, making it relevant to Water Alternatives' global readership.</w:t>
      </w:r>
    </w:p>
    <w:p>
      <w:pPr>
        <w:spacing w:before="0" w:after="120"/>
      </w:pPr>
      <w:r>
        <w:rPr>
          <w:rFonts w:ascii="Verdana" w:hAnsi="Verdana"/>
          <w:b w:val="0"/>
          <w:i w:val="0"/>
          <w:sz w:val="20"/>
        </w:rPr>
        <w:t>The paper provides quantitative feasibility analysis using two Japanese case studies: the Oda River–Takahashi River basin (site of the devastating 2018 Western Japan floods) and the Tokyo metropolitan area (Arakawa–Edogawa basin, 8.21 million people in projected inundation zones). These case studies demonstrate that the proposed framework is energy self-sufficient (generating 41.7 MW while consuming only 3.68 MW for pumping) and can provide significant flood volume reduction (12.0 × 10⁶ m³ of subsurface storage capacity).</w:t>
      </w:r>
    </w:p>
    <w:p>
      <w:pPr>
        <w:spacing w:before="0" w:after="120"/>
      </w:pPr>
      <w:r>
        <w:rPr>
          <w:rFonts w:ascii="Verdana" w:hAnsi="Verdana"/>
          <w:b w:val="0"/>
          <w:i w:val="0"/>
          <w:sz w:val="20"/>
        </w:rPr>
        <w:t>To the best of our knowledge, this is the first paper to analyse the hydro-political implications of subsurface flood storage as a tool for autonomous downstream adaptation in transboundary contexts. While managed aquifer recharge and pumped-storage hydropower are individually well-established technologies, their integration into a framework specifically designed to circumvent upstream-downstream power asymmetries has not previously been explored in the water governance literature.</w:t>
      </w:r>
    </w:p>
    <w:p>
      <w:pPr>
        <w:spacing w:before="0" w:after="120"/>
      </w:pPr>
      <w:r>
        <w:rPr>
          <w:rFonts w:ascii="Verdana" w:hAnsi="Verdana"/>
          <w:b w:val="0"/>
          <w:i w:val="0"/>
          <w:sz w:val="20"/>
        </w:rPr>
        <w:t>Disclosure of related submissions: A related manuscript focusing on quantitative engineering analysis (energy balance calculations, hydrograph simulation, and infrastructure design parameters) is being submitted to the Journal of JSCE (Special Issue: Hydroscience and Hydraulic Engineering, B1). The Journal of JSCE manuscript is a technical engineering paper with minimal overlap in governance content. The Water Alternatives manuscript presented here focuses on water governance, hydro-hegemony theory, and international policy implications, with technical details included only to support the governance argument.</w:t>
      </w:r>
    </w:p>
    <w:p>
      <w:pPr>
        <w:spacing w:before="0" w:after="120"/>
      </w:pPr>
      <w:r>
        <w:rPr>
          <w:rFonts w:ascii="Verdana" w:hAnsi="Verdana"/>
          <w:b w:val="0"/>
          <w:i w:val="0"/>
          <w:sz w:val="20"/>
        </w:rPr>
        <w:t>We confirm that this manuscript has not been published previously and is not under consideration for publication elsewhere in its current form. All authors have approved the manuscript and agree to its submission to Water Alternatives. We have no conflicts of interest to declare.</w:t>
      </w:r>
    </w:p>
    <w:p>
      <w:pPr>
        <w:spacing w:before="0" w:after="120"/>
      </w:pPr>
      <w:r>
        <w:rPr>
          <w:rFonts w:ascii="Verdana" w:hAnsi="Verdana"/>
          <w:b w:val="0"/>
          <w:i w:val="0"/>
          <w:sz w:val="20"/>
        </w:rPr>
        <w:t>AI use declaration: Generative AI tools were used to assist with literature search, data analysis, and manuscript drafting. All content has been verified, edited, and approved by the authors, who take full responsibility for the accuracy and integrity of the work.</w:t>
      </w:r>
    </w:p>
    <w:p>
      <w:pPr>
        <w:spacing w:before="0" w:after="120"/>
      </w:pPr>
      <w:r>
        <w:rPr>
          <w:rFonts w:ascii="Verdana" w:hAnsi="Verdana"/>
          <w:b w:val="0"/>
          <w:i w:val="0"/>
          <w:sz w:val="20"/>
        </w:rPr>
      </w:r>
    </w:p>
    <w:p>
      <w:pPr>
        <w:spacing w:before="0" w:after="120"/>
      </w:pPr>
      <w:r>
        <w:rPr>
          <w:rFonts w:ascii="Verdana" w:hAnsi="Verdana"/>
          <w:b w:val="0"/>
          <w:i w:val="0"/>
          <w:sz w:val="20"/>
        </w:rPr>
        <w:t>We look forward to hearing from you regarding the suitability of this manuscript for Water Alternatives.</w:t>
      </w:r>
    </w:p>
    <w:p>
      <w:pPr>
        <w:spacing w:before="0" w:after="120"/>
      </w:pPr>
      <w:r>
        <w:rPr>
          <w:rFonts w:ascii="Verdana" w:hAnsi="Verdana"/>
          <w:b w:val="0"/>
          <w:i w:val="0"/>
          <w:sz w:val="20"/>
        </w:rPr>
      </w:r>
    </w:p>
    <w:p>
      <w:pPr>
        <w:spacing w:before="0" w:after="120"/>
      </w:pPr>
      <w:r>
        <w:rPr>
          <w:rFonts w:ascii="Verdana" w:hAnsi="Verdana"/>
          <w:b w:val="0"/>
          <w:i w:val="0"/>
          <w:sz w:val="20"/>
        </w:rPr>
        <w:t>Yours sincerely,</w:t>
      </w:r>
    </w:p>
    <w:p>
      <w:pPr>
        <w:spacing w:before="0" w:after="120"/>
      </w:pPr>
      <w:r>
        <w:rPr>
          <w:rFonts w:ascii="Verdana" w:hAnsi="Verdana"/>
          <w:b w:val="0"/>
          <w:i w:val="0"/>
          <w:sz w:val="20"/>
        </w:rPr>
      </w:r>
    </w:p>
    <w:p>
      <w:pPr>
        <w:spacing w:before="0" w:after="120"/>
      </w:pPr>
      <w:r>
        <w:rPr>
          <w:rFonts w:ascii="Verdana" w:hAnsi="Verdana"/>
          <w:b w:val="0"/>
          <w:i w:val="0"/>
          <w:color w:val="FF0000"/>
          <w:sz w:val="20"/>
        </w:rPr>
        <w:t>[Corresponding Author Name]</w:t>
      </w:r>
    </w:p>
    <w:p>
      <w:pPr>
        <w:spacing w:before="0" w:after="120"/>
      </w:pPr>
      <w:r>
        <w:rPr>
          <w:rFonts w:ascii="Verdana" w:hAnsi="Verdana"/>
          <w:b w:val="0"/>
          <w:i w:val="0"/>
          <w:color w:val="FF0000"/>
          <w:sz w:val="20"/>
        </w:rPr>
        <w:t>[Position]</w:t>
      </w:r>
    </w:p>
    <w:p>
      <w:pPr>
        <w:spacing w:before="0" w:after="120"/>
      </w:pPr>
      <w:r>
        <w:rPr>
          <w:rFonts w:ascii="Verdana" w:hAnsi="Verdana"/>
          <w:b w:val="0"/>
          <w:i w:val="0"/>
          <w:color w:val="FF0000"/>
          <w:sz w:val="20"/>
        </w:rPr>
        <w:t>[Affiliation]</w:t>
      </w:r>
    </w:p>
    <w:p>
      <w:pPr>
        <w:spacing w:before="0" w:after="120"/>
      </w:pPr>
      <w:r>
        <w:rPr>
          <w:rFonts w:ascii="Verdana" w:hAnsi="Verdana"/>
          <w:b w:val="0"/>
          <w:i w:val="0"/>
          <w:color w:val="FF0000"/>
          <w:sz w:val="20"/>
        </w:rPr>
        <w:t>[City, Country]</w:t>
      </w:r>
    </w:p>
    <w:p>
      <w:pPr>
        <w:spacing w:before="0" w:after="120"/>
      </w:pPr>
      <w:r>
        <w:rPr>
          <w:rFonts w:ascii="Verdana" w:hAnsi="Verdana"/>
          <w:b w:val="0"/>
          <w:i w:val="0"/>
          <w:color w:val="FF0000"/>
          <w:sz w:val="20"/>
        </w:rPr>
        <w:t>[Email]</w:t>
      </w:r>
    </w:p>
    <w:p>
      <w:pPr>
        <w:spacing w:before="0" w:after="120"/>
      </w:pPr>
      <w:r>
        <w:rPr>
          <w:rFonts w:ascii="Verdana" w:hAnsi="Verdana"/>
          <w:b w:val="0"/>
          <w:i w:val="0"/>
          <w:color w:val="FF0000"/>
          <w:sz w:val="20"/>
        </w:rPr>
        <w:t>[ORCID (if available)]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after="120"/>
    </w:pPr>
    <w:rPr>
      <w:rFonts w:ascii="Verdana" w:hAnsi="Verdan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