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p>
      <w:r>
        <w:t>The Editors</w:t>
      </w:r>
    </w:p>
    <w:p>
      <w:r>
        <w:rPr>
          <w:i/>
        </w:rPr>
        <w:t>Economics &amp; Politics</w:t>
      </w:r>
    </w:p>
    <w:p/>
    <w:p>
      <w:r>
        <w:t>Dear Professors Xu and Zauner,</w:t>
      </w:r>
    </w:p>
    <w:p/>
    <w:p>
      <w:r>
        <w:t>I am pleased to submit the manuscript entitled "Network Exclusion and State Collapse: From Maritime Isolation to Technological Access Denial in the Long Run of History" for consideration by Economics &amp; Politics.</w:t>
      </w:r>
    </w:p>
    <w:p>
      <w:r>
        <w:t>This paper addresses a core question in political economy: how does structural exclusion from dominant technological networks interact with political institutions to determine state survival? Using a comparative dataset of 96 historical polities spanning antiquity to the present, we distinguish between deliberate closure—a policy choice by ruling coalitions seeking to preserve rents (maritime bans, sakoku, bloc membership)—and what we term "technical network exclusion": involuntary disconnection from the dominant exchange network of an era due to geographic or technological constraints.</w:t>
      </w:r>
    </w:p>
    <w:p>
      <w:r>
        <w:t>We propose a two-stage political economy mechanism. First, network exclusion disrupts the flow of frontier technology, leading to economic stagnation and declining state capacity. Second, weakened economic performance erodes institutional quality and political resilience—the fiscal capacity to maintain armies, the administrative capacity to govern effectively, and the legitimacy that sustained growth provides to ruling coalitions. This framework connects the literatures on institutions and state capacity (Besley and Persson, 2011; Acemoglu and Robinson, 2006) with the literature on trade, technology diffusion, and isolation.</w:t>
      </w:r>
    </w:p>
    <w:p>
      <w:r>
        <w:t>The paper presents four principal contributions:</w:t>
      </w:r>
    </w:p>
    <w:p>
      <w:pPr>
        <w:ind w:left="720"/>
      </w:pPr>
      <w:r>
        <w:t>1. A systematic sensitivity analysis demonstrating that reclassifying seven technically excluded polities transforms a non-significant closure–conquest association (Fisher's exact p = 0.187) into a significant one (p = 0.020), while the core stock–flow odds ratio remains stable (OR = 1.774).</w:t>
      </w:r>
    </w:p>
    <w:p>
      <w:pPr>
        <w:ind w:left="720"/>
      </w:pPr>
      <w:r>
        <w:t>2. A political economy analysis of closure as a policy choice, connecting selectorate theory (Bueno de Mesquita et al., 2003) to the logic of network exclusion: rulers with narrow winning coalitions may rationally choose closure despite its long-run costs, creating a tension between regime survival and state survival.</w:t>
      </w:r>
    </w:p>
    <w:p>
      <w:pPr>
        <w:ind w:left="720"/>
      </w:pPr>
      <w:r>
        <w:t>3. Empirical evidence for a mediated causal pathway (exclusion → economic stagnation → institutional decay → political vulnerability), supported by the multivariate regression pattern in which institutional quality and external threat absorb the closure effect, and by the PSM results consistent with full mediation.</w:t>
      </w:r>
    </w:p>
    <w:p>
      <w:pPr>
        <w:ind w:left="720"/>
      </w:pPr>
      <w:r>
        <w:t>4. Contemporary policy implications for the political economy of technology export controls—framing modern semiconductor and AI restrictions as deliberate exclusion policies whose long-run consequences can be assessed through the historical lens documented here.</w:t>
      </w:r>
    </w:p>
    <w:p/>
    <w:p>
      <w:r>
        <w:t>We probe the closure–conquest association with four causal identification strategies—instrumental variables, propensity score matching, a natural experiment framing, and a robustness battery including E-values, permutation tests, and leave-one-out analysis. The strongest evidence comes from the natural experiment approach: technically excluded polities show a 100% conquest rate compared with 62.3% for open polities (Fisher's exact p = 0.048), with no significant differences in observable covariates.</w:t>
      </w:r>
    </w:p>
    <w:p>
      <w:r>
        <w:t>The manuscript contains approximately 8,000 words, 5 tables, and 4 figures. Supplementary Table S1 provides the complete dataset. We confirm that this work has not been published or submitted elsewhere.</w:t>
      </w:r>
    </w:p>
    <w:p>
      <w:r>
        <w:t>We believe this manuscript is well suited to Economics &amp; Politics because it addresses the interaction of political processes (policy choices regarding openness, selectorate dynamics) with economic outcomes (technology flow, state capacity) in determining political survival—a question at the core of the journal's scope.</w:t>
      </w:r>
    </w:p>
    <w:p>
      <w:r>
        <w:t>We suggest the following reviewers based on their expertise in political economy and long-run development:</w:t>
      </w:r>
    </w:p>
    <w:p>
      <w:pPr>
        <w:ind w:left="720"/>
      </w:pPr>
      <w:r>
        <w:t>• Prof. Daron Acemoglu (MIT) — political institutions, economic development, and state capacity</w:t>
      </w:r>
    </w:p>
    <w:p>
      <w:pPr>
        <w:ind w:left="720"/>
      </w:pPr>
      <w:r>
        <w:t>• Prof. Torsten Persson (Stockholm University) — political economics, fiscal capacity, and state formation</w:t>
      </w:r>
    </w:p>
    <w:p>
      <w:pPr>
        <w:ind w:left="720"/>
      </w:pPr>
      <w:r>
        <w:t>• Prof. Nathan Nunn (University of British Columbia) — long-run persistence, historical institutions, and trade</w:t>
      </w:r>
    </w:p>
    <w:p/>
    <w:p>
      <w:r>
        <w:t>Sincerely,</w:t>
      </w:r>
    </w:p>
    <w:p/>
    <w:p>
      <w:r>
        <w:t>[Author Name]</w:t>
      </w:r>
    </w:p>
    <w:p>
      <w:r>
        <w:t>[Affiliation]</w:t>
      </w:r>
    </w:p>
    <w:p>
      <w:r>
        <w:t>[Email]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