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28"/>
        </w:rPr>
        <w:t>Regional variation in anaesthesia practice in Japan: structural determinant or claims-audit artefact?</w:t>
      </w:r>
    </w:p>
    <w:p>
      <w:pPr>
        <w:jc w:val="center"/>
      </w:pPr>
      <w:r>
        <w:rPr>
          <w:rFonts w:ascii="Times New Roman" w:hAnsi="Times New Roman"/>
          <w:i/>
          <w:sz w:val="24"/>
        </w:rPr>
        <w:t>Running header: Anaesthesia variation in Japan</w:t>
      </w:r>
    </w:p>
    <w:p>
      <w:pPr>
        <w:spacing w:after="0"/>
      </w:pPr>
    </w:p>
    <w:p>
      <w:pPr>
        <w:jc w:val="center"/>
      </w:pPr>
      <w:r>
        <w:rPr>
          <w:rFonts w:ascii="Times New Roman" w:hAnsi="Times New Roman"/>
          <w:i/>
          <w:sz w:val="24"/>
        </w:rPr>
        <w:t>[Authors and affiliations to be supplied]</w:t>
      </w:r>
    </w:p>
    <w:p>
      <w:pPr>
        <w:jc w:val="center"/>
      </w:pPr>
      <w:r>
        <w:rPr>
          <w:rFonts w:ascii="Times New Roman" w:hAnsi="Times New Roman"/>
          <w:i/>
          <w:sz w:val="24"/>
        </w:rPr>
        <w:t>[Corresponding author: name, postal address, telephone, email]</w:t>
      </w:r>
    </w:p>
    <w:p>
      <w:pPr>
        <w:spacing w:after="0"/>
      </w:pPr>
    </w:p>
    <w:p>
      <w:r>
        <w:rPr>
          <w:rFonts w:ascii="Times New Roman" w:hAnsi="Times New Roman"/>
          <w:i/>
          <w:sz w:val="24"/>
        </w:rPr>
        <w:t>Article type: Original research article</w:t>
      </w:r>
    </w:p>
    <w:p>
      <w:r>
        <w:rPr>
          <w:rFonts w:ascii="Times New Roman" w:hAnsi="Times New Roman"/>
          <w:i/>
          <w:sz w:val="24"/>
        </w:rPr>
        <w:t>Word count (main text, excluding abstract, references, tables and figures): approximately 3000 words</w:t>
      </w:r>
    </w:p>
    <w:p>
      <w:r>
        <w:rPr>
          <w:rFonts w:ascii="Times New Roman" w:hAnsi="Times New Roman"/>
          <w:i/>
          <w:sz w:val="24"/>
        </w:rPr>
        <w:t>Tables: 3   Figures: 2   References: 30</w:t>
      </w:r>
    </w:p>
    <w:p>
      <w:r>
        <w:rPr>
          <w:rFonts w:ascii="Times New Roman" w:hAnsi="Times New Roman"/>
          <w:i/>
          <w:sz w:val="24"/>
        </w:rPr>
        <w:t>Reporting guideline: STROBE checklist for cross-sectional studies (uploaded as supplementary material)</w:t>
      </w:r>
    </w:p>
    <w:p>
      <w:r>
        <w:br w:type="page"/>
      </w:r>
    </w:p>
    <w:p>
      <w:pPr>
        <w:jc w:val="center"/>
      </w:pPr>
      <w:r>
        <w:rPr>
          <w:rFonts w:ascii="Times New Roman" w:hAnsi="Times New Roman"/>
          <w:b/>
          <w:sz w:val="24"/>
        </w:rPr>
        <w:t>Regional variation in anaesthesia practice in Japan: structural determinant or claims-audit artefact?</w:t>
      </w:r>
    </w:p>
    <w:p>
      <w:pPr>
        <w:spacing w:after="0"/>
      </w:pPr>
    </w:p>
    <w:p>
      <w:pPr>
        <w:spacing w:before="0" w:after="120"/>
      </w:pPr>
      <w:r>
        <w:rPr>
          <w:rFonts w:ascii="Times New Roman" w:hAnsi="Times New Roman"/>
          <w:b/>
          <w:sz w:val="26"/>
        </w:rPr>
        <w:t>ABSTRACT</w:t>
      </w:r>
    </w:p>
    <w:p>
      <w:pPr>
        <w:spacing w:after="120"/>
      </w:pPr>
      <w:r>
        <w:rPr>
          <w:rFonts w:ascii="Times New Roman" w:hAnsi="Times New Roman"/>
          <w:b/>
          <w:sz w:val="24"/>
        </w:rPr>
        <w:t xml:space="preserve">Background  </w:t>
      </w:r>
      <w:r>
        <w:rPr>
          <w:rFonts w:ascii="Times New Roman" w:hAnsi="Times New Roman"/>
          <w:sz w:val="24"/>
        </w:rPr>
        <w:t>Regional variation in anaesthesia practice has been documented in many high-income countries, but the relative contributions of clinical preference, institutional capacity and administrative coding practices remain unclear. Japan provides a distinctive natural experiment: a single national fee schedule combined with prefecture-specific insurance auditing. We aimed to quantify regional variation in anaesthesia practice across Japan's 335 secondary medical areas and to test whether observed variation reflects structural determinants or differential auditing.</w:t>
      </w:r>
    </w:p>
    <w:p>
      <w:pPr>
        <w:spacing w:after="120"/>
      </w:pPr>
      <w:r>
        <w:rPr>
          <w:rFonts w:ascii="Times New Roman" w:hAnsi="Times New Roman"/>
          <w:b/>
          <w:sz w:val="24"/>
        </w:rPr>
        <w:t xml:space="preserve">Methods  </w:t>
      </w:r>
      <w:r>
        <w:rPr>
          <w:rFonts w:ascii="Times New Roman" w:hAnsi="Times New Roman"/>
          <w:sz w:val="24"/>
        </w:rPr>
        <w:t>Cross-sectional ecological study using publicly available standardised claim ratios (age- and sex-adjusted observed-to-expected ratios on a residence basis, national average = 100) for fiscal year 2022. Six anaesthesia procedure codes were analysed across 335 secondary medical areas nested within 47 prefectures. We fitted multilevel linear mixed models with prefectures as random intercepts to estimate intraclass correlation coefficients and the contribution of university hospital presence. Three pre-specified sensitivity analyses tested the audit hypothesis: within-prefecture variance decomposition; cross-code correlation; and quantitative estimation of the maximum impact of audit-rate differences. Empirical Bayes shrinkage addressed potential instability in low-volume areas.</w:t>
      </w:r>
    </w:p>
    <w:p>
      <w:pPr>
        <w:spacing w:after="120"/>
      </w:pPr>
      <w:r>
        <w:rPr>
          <w:rFonts w:ascii="Times New Roman" w:hAnsi="Times New Roman"/>
          <w:b/>
          <w:sz w:val="24"/>
        </w:rPr>
        <w:t xml:space="preserve">Results  </w:t>
      </w:r>
      <w:r>
        <w:rPr>
          <w:rFonts w:ascii="Times New Roman" w:hAnsi="Times New Roman"/>
          <w:sz w:val="24"/>
        </w:rPr>
        <w:t>Substantial variation was observed across all anaesthesia codes. The coefficient of variation was 53.6% for general anaesthesia, 87.0% for epidural anaesthesia (L002), 64.9% for continuous epidural infusion (L003) and 56.8% for spinal anaesthesia. Multilevel models showed that only 5.8% of general anaesthesia variance was attributable to the prefecture level (intraclass correlation coefficient 0.058); 94.2% occurred within prefectures, where audit policy is uniform. University hospital presence explained 35.8% of total general anaesthesia variance and 40.5% of within-prefecture variance (Cohen's d 1.88). University hospital areas had higher general anaesthesia ratios in 47 of 47 prefectures. The three audit sensitivity analyses converged: the maximum audit-rate difference (0.21 percentage points) could shift ratios by less than 0.3% of the observed interquartile range. Empirical Bayes shrinkage attenuated effect sizes by only 8.6 to 9.1%.</w:t>
      </w:r>
    </w:p>
    <w:p>
      <w:pPr>
        <w:spacing w:after="120"/>
      </w:pPr>
      <w:r>
        <w:rPr>
          <w:rFonts w:ascii="Times New Roman" w:hAnsi="Times New Roman"/>
          <w:b/>
          <w:sz w:val="24"/>
        </w:rPr>
        <w:t xml:space="preserve">Conclusion  </w:t>
      </w:r>
      <w:r>
        <w:rPr>
          <w:rFonts w:ascii="Times New Roman" w:hAnsi="Times New Roman"/>
          <w:sz w:val="24"/>
        </w:rPr>
        <w:t>Regional variation in anaesthesia practice across Japan is substantial and predominantly structural rather than an artefact of insurance auditing. University hospital proximity is the dominant determinant. The marked variation in epidural anaesthesia (L002) and continuous epidural infusion (L003), the publicly reported proxies for regional anaesthesia use, indicates a modifiable inequity in access to a potentially beneficial technique under a system designed for universal coverage.</w:t>
      </w:r>
    </w:p>
    <w:p>
      <w:pPr>
        <w:spacing w:after="0"/>
      </w:pPr>
    </w:p>
    <w:p>
      <w:r>
        <w:rPr>
          <w:rFonts w:ascii="Times New Roman" w:hAnsi="Times New Roman"/>
          <w:b/>
          <w:sz w:val="24"/>
        </w:rPr>
        <w:t xml:space="preserve">Keywords: </w:t>
      </w:r>
      <w:r>
        <w:rPr>
          <w:rFonts w:ascii="Times New Roman" w:hAnsi="Times New Roman"/>
          <w:sz w:val="24"/>
        </w:rPr>
        <w:t>anaesthesia; small-area variation; multilevel analysis; health services research; quality of health care; Japan</w:t>
      </w:r>
    </w:p>
    <w:p>
      <w:r>
        <w:br w:type="page"/>
      </w:r>
    </w:p>
    <w:p>
      <w:pPr>
        <w:spacing w:before="0" w:after="120"/>
      </w:pPr>
      <w:r>
        <w:rPr>
          <w:rFonts w:ascii="Times New Roman" w:hAnsi="Times New Roman"/>
          <w:b/>
          <w:sz w:val="26"/>
        </w:rPr>
        <w:t>INTRODUCTION</w:t>
      </w:r>
    </w:p>
    <w:p>
      <w:r>
        <w:rPr>
          <w:rFonts w:ascii="Times New Roman" w:hAnsi="Times New Roman"/>
          <w:sz w:val="24"/>
        </w:rPr>
        <w:t>Japan's universal health insurance system, established in 1961, covers the entire population under a nationally uniform fee schedule that specifies reimbursement for every medical procedure.</w:t>
      </w:r>
      <w:r>
        <w:rPr>
          <w:rFonts w:ascii="Times New Roman" w:hAnsi="Times New Roman"/>
          <w:sz w:val="24"/>
          <w:vertAlign w:val="superscript"/>
        </w:rPr>
        <w:t>1</w:t>
      </w:r>
      <w:r>
        <w:rPr>
          <w:rFonts w:ascii="Times New Roman" w:hAnsi="Times New Roman"/>
          <w:sz w:val="24"/>
        </w:rPr>
        <w:t xml:space="preserve"> The system consistently ranks among the highest performing globally for effective service coverage</w:t>
      </w:r>
      <w:r>
        <w:rPr>
          <w:rFonts w:ascii="Times New Roman" w:hAnsi="Times New Roman"/>
          <w:sz w:val="24"/>
          <w:vertAlign w:val="superscript"/>
        </w:rPr>
        <w:t>2</w:t>
      </w:r>
      <w:r>
        <w:rPr>
          <w:rFonts w:ascii="Times New Roman" w:hAnsi="Times New Roman"/>
          <w:sz w:val="24"/>
        </w:rPr>
        <w:t xml:space="preserve"> and is delivered through a hierarchical structure of 47 prefectural (tertiary) and 335 secondary medical areas, each designed to be self-sufficient for inpatient care.</w:t>
      </w:r>
      <w:r>
        <w:rPr>
          <w:rFonts w:ascii="Times New Roman" w:hAnsi="Times New Roman"/>
          <w:sz w:val="24"/>
          <w:vertAlign w:val="superscript"/>
        </w:rPr>
        <w:t>3</w:t>
      </w:r>
      <w:r>
        <w:rPr>
          <w:rFonts w:ascii="Times New Roman" w:hAnsi="Times New Roman"/>
          <w:sz w:val="24"/>
        </w:rPr>
        <w:t xml:space="preserve"> Cross-boundary patient movement is limited: only 6.1% of inpatients receive care outside their home prefecture.</w:t>
      </w:r>
      <w:r>
        <w:rPr>
          <w:rFonts w:ascii="Times New Roman" w:hAnsi="Times New Roman"/>
          <w:sz w:val="24"/>
          <w:vertAlign w:val="superscript"/>
        </w:rPr>
        <w:t>4</w:t>
      </w:r>
      <w:r>
        <w:rPr>
          <w:rFonts w:ascii="Times New Roman" w:hAnsi="Times New Roman"/>
          <w:sz w:val="24"/>
        </w:rPr>
        <w:t xml:space="preserve"> The system was intended to ensure equitable access regardless of geography.</w:t>
      </w:r>
    </w:p>
    <w:p>
      <w:r>
        <w:rPr>
          <w:rFonts w:ascii="Times New Roman" w:hAnsi="Times New Roman"/>
          <w:sz w:val="24"/>
        </w:rPr>
        <w:t>Yet substantial regional variation in surgical procedures, prescribing and diagnostic testing has been documented through the National Database of Health Insurance Claims.</w:t>
      </w:r>
      <w:r>
        <w:rPr>
          <w:rFonts w:ascii="Times New Roman" w:hAnsi="Times New Roman"/>
          <w:sz w:val="24"/>
          <w:vertAlign w:val="superscript"/>
        </w:rPr>
        <w:t>5</w:t>
      </w:r>
      <w:r>
        <w:rPr>
          <w:rFonts w:ascii="Times New Roman" w:hAnsi="Times New Roman"/>
          <w:sz w:val="24"/>
        </w:rPr>
        <w:t xml:space="preserve"> A distinctive feature of the Japanese system is mandatory prefectural insurance auditing (shinsa): all claims are reviewed before reimbursement and audit rates vary across prefectures from 0.07% to 0.28%.</w:t>
      </w:r>
      <w:r>
        <w:rPr>
          <w:rFonts w:ascii="Times New Roman" w:hAnsi="Times New Roman"/>
          <w:sz w:val="24"/>
          <w:vertAlign w:val="superscript"/>
        </w:rPr>
        <w:t>6</w:t>
      </w:r>
      <w:r>
        <w:rPr>
          <w:rFonts w:ascii="Times New Roman" w:hAnsi="Times New Roman"/>
          <w:sz w:val="24"/>
        </w:rPr>
        <w:t xml:space="preserve"> This raises a fundamental question for the quality and safety community: does the variation observed in claims data reflect genuine differences in clinical practice, or is it an artefact of differential auditing? Distinguishing between these two explanations has different implications for quality improvement, payment policy and patient equity.</w:t>
      </w:r>
    </w:p>
    <w:p>
      <w:r>
        <w:rPr>
          <w:rFonts w:ascii="Times New Roman" w:hAnsi="Times New Roman"/>
          <w:sz w:val="24"/>
        </w:rPr>
        <w:t>Anaesthesia practice is well suited to this question. The choice between general anaesthesia alone and techniques that add regional anaesthesia is clinically consequential: a body of evidence suggests that regional anaesthesia, particularly epidural analgesia combined with general anaesthesia, may improve recurrence-free and overall survival in some cancer surgeries,</w:t>
      </w:r>
      <w:r>
        <w:rPr>
          <w:rFonts w:ascii="Times New Roman" w:hAnsi="Times New Roman"/>
          <w:sz w:val="24"/>
          <w:vertAlign w:val="superscript"/>
        </w:rPr>
        <w:t>7,8</w:t>
      </w:r>
      <w:r>
        <w:rPr>
          <w:rFonts w:ascii="Times New Roman" w:hAnsi="Times New Roman"/>
          <w:sz w:val="24"/>
        </w:rPr>
        <w:t xml:space="preserve"> although results from randomised trials are mixed.</w:t>
      </w:r>
      <w:r>
        <w:rPr>
          <w:rFonts w:ascii="Times New Roman" w:hAnsi="Times New Roman"/>
          <w:sz w:val="24"/>
          <w:vertAlign w:val="superscript"/>
        </w:rPr>
        <w:t>9</w:t>
      </w:r>
      <w:r>
        <w:rPr>
          <w:rFonts w:ascii="Times New Roman" w:hAnsi="Times New Roman"/>
          <w:sz w:val="24"/>
        </w:rPr>
        <w:t xml:space="preserve"> The 2026 revision of the Japanese fee schedule renamed the general anaesthesia code to clarify longstanding ambiguity in airway definitions, an ambiguity that could plausibly have driven differential audit decisions.</w:t>
      </w:r>
      <w:r>
        <w:rPr>
          <w:rFonts w:ascii="Times New Roman" w:hAnsi="Times New Roman"/>
          <w:sz w:val="24"/>
          <w:vertAlign w:val="superscript"/>
        </w:rPr>
        <w:t>10</w:t>
      </w:r>
      <w:r>
        <w:rPr>
          <w:rFonts w:ascii="Times New Roman" w:hAnsi="Times New Roman"/>
          <w:sz w:val="24"/>
        </w:rPr>
        <w:t xml:space="preserve"> Understanding whether observed regional variation is structural or administrative is therefore both timely and central to evaluating the equity of care under universal coverage.</w:t>
      </w:r>
    </w:p>
    <w:p>
      <w:r>
        <w:rPr>
          <w:rFonts w:ascii="Times New Roman" w:hAnsi="Times New Roman"/>
          <w:sz w:val="24"/>
        </w:rPr>
        <w:t>We used publicly available standardised claim ratios at the secondary medical area level to address the following research questions: (i) How large is the regional variation in anaesthesia practice across 335 areas? (ii) Is this variation explained by differential prefectural auditing? (iii) What proportion of variance lies between prefectures and between areas within prefectures? (iv) Which structural factors, including university hospital proximity, are associated with the observed variation?</w:t>
      </w:r>
    </w:p>
    <w:p>
      <w:pPr>
        <w:spacing w:before="240" w:after="120"/>
      </w:pPr>
      <w:r>
        <w:rPr>
          <w:rFonts w:ascii="Times New Roman" w:hAnsi="Times New Roman"/>
          <w:b/>
          <w:sz w:val="26"/>
        </w:rPr>
        <w:t>METHODS</w:t>
      </w:r>
    </w:p>
    <w:p>
      <w:pPr>
        <w:spacing w:before="160" w:after="80"/>
      </w:pPr>
      <w:r>
        <w:rPr>
          <w:rFonts w:ascii="Times New Roman" w:hAnsi="Times New Roman"/>
          <w:b/>
          <w:sz w:val="24"/>
        </w:rPr>
        <w:t>Study design and ethical considerations</w:t>
      </w:r>
    </w:p>
    <w:p>
      <w:r>
        <w:rPr>
          <w:rFonts w:ascii="Times New Roman" w:hAnsi="Times New Roman"/>
          <w:sz w:val="24"/>
        </w:rPr>
        <w:t>This was a cross-sectional ecological study using publicly available aggregate data only. No individual-level data were accessed. Ethics committee approval was not required under the Ethical Guidelines for Medical and Biological Research Involving Human Subjects (Japan, 2021 revision). The study was reported in accordance with the Strengthening the Reporting of Observational Studies in Epidemiology (STROBE) checklist for cross-sectional studies,</w:t>
      </w:r>
      <w:r>
        <w:rPr>
          <w:rFonts w:ascii="Times New Roman" w:hAnsi="Times New Roman"/>
          <w:sz w:val="24"/>
          <w:vertAlign w:val="superscript"/>
        </w:rPr>
        <w:t>30</w:t>
      </w:r>
      <w:r>
        <w:rPr>
          <w:rFonts w:ascii="Times New Roman" w:hAnsi="Times New Roman"/>
          <w:sz w:val="24"/>
        </w:rPr>
        <w:t xml:space="preserve"> which is provided as supplementary material.</w:t>
      </w:r>
    </w:p>
    <w:p>
      <w:pPr>
        <w:spacing w:before="160" w:after="80"/>
      </w:pPr>
      <w:r>
        <w:rPr>
          <w:rFonts w:ascii="Times New Roman" w:hAnsi="Times New Roman"/>
          <w:b/>
          <w:sz w:val="24"/>
        </w:rPr>
        <w:t>Geographic units</w:t>
      </w:r>
    </w:p>
    <w:p>
      <w:r>
        <w:rPr>
          <w:rFonts w:ascii="Times New Roman" w:hAnsi="Times New Roman"/>
          <w:sz w:val="24"/>
        </w:rPr>
        <w:t>Japan's healthcare delivery system is organised into a hierarchical structure of medical areas defined under Article 30-4 of the Medical Care Act.</w:t>
      </w:r>
      <w:r>
        <w:rPr>
          <w:rFonts w:ascii="Times New Roman" w:hAnsi="Times New Roman"/>
          <w:sz w:val="24"/>
          <w:vertAlign w:val="superscript"/>
        </w:rPr>
        <w:t>3</w:t>
      </w:r>
      <w:r>
        <w:rPr>
          <w:rFonts w:ascii="Times New Roman" w:hAnsi="Times New Roman"/>
          <w:sz w:val="24"/>
        </w:rPr>
        <w:t xml:space="preserve"> The 47 prefectures serve as tertiary medical areas; within each prefecture, secondary medical areas (n = 335 nationally) are designated as the basic units for inpatient care planning. Crucially, secondary medical areas are completely nested within prefectures and do not cross prefectural boundaries. This nesting differs from the Hospital Service Areas and Hospital Referral Regions used in the United States, which can cross state boundaries,</w:t>
      </w:r>
      <w:r>
        <w:rPr>
          <w:rFonts w:ascii="Times New Roman" w:hAnsi="Times New Roman"/>
          <w:sz w:val="24"/>
          <w:vertAlign w:val="superscript"/>
        </w:rPr>
        <w:t>11</w:t>
      </w:r>
      <w:r>
        <w:rPr>
          <w:rFonts w:ascii="Times New Roman" w:hAnsi="Times New Roman"/>
          <w:sz w:val="24"/>
        </w:rPr>
        <w:t xml:space="preserve"> and makes within-prefecture comparisons unconfounded by spillover under a common audit policy.</w:t>
      </w:r>
    </w:p>
    <w:p>
      <w:pPr>
        <w:spacing w:before="160" w:after="80"/>
      </w:pPr>
      <w:r>
        <w:rPr>
          <w:rFonts w:ascii="Times New Roman" w:hAnsi="Times New Roman"/>
          <w:b/>
          <w:sz w:val="24"/>
        </w:rPr>
        <w:t>Data sources and standardised claim ratios</w:t>
      </w:r>
    </w:p>
    <w:p>
      <w:r>
        <w:rPr>
          <w:rFonts w:ascii="Times New Roman" w:hAnsi="Times New Roman"/>
          <w:sz w:val="24"/>
        </w:rPr>
        <w:t>We used three data sources. First, standardised claim ratios for fiscal year 2022 published by the Cabinet Office under the "Regional Variation Visualisation" initiative.</w:t>
      </w:r>
      <w:r>
        <w:rPr>
          <w:rFonts w:ascii="Times New Roman" w:hAnsi="Times New Roman"/>
          <w:sz w:val="24"/>
          <w:vertAlign w:val="superscript"/>
        </w:rPr>
        <w:t>12</w:t>
      </w:r>
      <w:r>
        <w:rPr>
          <w:rFonts w:ascii="Times New Roman" w:hAnsi="Times New Roman"/>
          <w:sz w:val="24"/>
        </w:rPr>
        <w:t xml:space="preserve"> Standardised claim ratios are computed by indirect standardisation: expected claim frequencies are calculated by applying national age- and sex-specific claim rates to the local population structure, and the ratio is defined as 100 × (observed claims / expected claims). Ratios are calculated on a residence basis, so claims are attributed to the beneficiary's registered address rather than to the providing facility. Patient travel for treatment therefore does not inflate the ratio of the receiving area. Areas with very few claims are masked by the data provider to protect privacy and appear as missing values. Data were available at both prefectural and secondary medical area levels. Second, we obtained physician statistics from the 2022 Survey of Physicians, Dentists and Pharmacists.</w:t>
      </w:r>
      <w:r>
        <w:rPr>
          <w:rFonts w:ascii="Times New Roman" w:hAnsi="Times New Roman"/>
          <w:sz w:val="24"/>
          <w:vertAlign w:val="superscript"/>
        </w:rPr>
        <w:t>13</w:t>
      </w:r>
      <w:r>
        <w:rPr>
          <w:rFonts w:ascii="Times New Roman" w:hAnsi="Times New Roman"/>
          <w:sz w:val="24"/>
        </w:rPr>
        <w:t xml:space="preserve"> Third, geographic boundary data were obtained from the National Land Numerical Information dataset.</w:t>
      </w:r>
      <w:r>
        <w:rPr>
          <w:rFonts w:ascii="Times New Roman" w:hAnsi="Times New Roman"/>
          <w:sz w:val="24"/>
          <w:vertAlign w:val="superscript"/>
        </w:rPr>
        <w:t>14</w:t>
      </w:r>
    </w:p>
    <w:p>
      <w:pPr>
        <w:spacing w:before="160" w:after="80"/>
      </w:pPr>
      <w:r>
        <w:rPr>
          <w:rFonts w:ascii="Times New Roman" w:hAnsi="Times New Roman"/>
          <w:b/>
          <w:sz w:val="24"/>
        </w:rPr>
        <w:t>Anaesthesia procedure codes and university hospital mapping</w:t>
      </w:r>
    </w:p>
    <w:p>
      <w:r>
        <w:rPr>
          <w:rFonts w:ascii="Times New Roman" w:hAnsi="Times New Roman"/>
          <w:sz w:val="24"/>
        </w:rPr>
        <w:t>Six procedure codes from the Japanese fee schedule were analysed (Table 1): L008 (closed-circuit general anaesthesia); L002 (epidural anaesthesia as main technique); L003 (continuous epidural infusion, largely billed as adjunct to general anaesthesia); L004 (spinal anaesthesia); L009 (anaesthesia management fee I, a proxy for specialist staffing); and L100 (inpatient nerve block). We mapped 81 university hospitals (44 national, 8 public and 29 private) to their respective secondary medical areas based on municipal address. The 81 university hospitals are distributed across 64 of the 335 secondary medical areas (19.1%) and across all 47 prefectures, which enables within-prefecture comparisons between university and non-university areas under a common audit policy.</w:t>
      </w:r>
    </w:p>
    <w:p>
      <w:pPr>
        <w:spacing w:before="160" w:after="80"/>
      </w:pPr>
      <w:r>
        <w:rPr>
          <w:rFonts w:ascii="Times New Roman" w:hAnsi="Times New Roman"/>
          <w:b/>
          <w:sz w:val="24"/>
        </w:rPr>
        <w:t>Statistical analysis</w:t>
      </w:r>
    </w:p>
    <w:p>
      <w:r>
        <w:rPr>
          <w:rFonts w:ascii="Times New Roman" w:hAnsi="Times New Roman"/>
          <w:sz w:val="24"/>
        </w:rPr>
        <w:t>Three complementary approaches were used. First, we computed descriptive statistics including coefficients of variation. Between-group comparisons used Welch's t-test, Cohen's d for effect size</w:t>
      </w:r>
      <w:r>
        <w:rPr>
          <w:rFonts w:ascii="Times New Roman" w:hAnsi="Times New Roman"/>
          <w:sz w:val="24"/>
          <w:vertAlign w:val="superscript"/>
        </w:rPr>
        <w:t>15</w:t>
      </w:r>
      <w:r>
        <w:rPr>
          <w:rFonts w:ascii="Times New Roman" w:hAnsi="Times New Roman"/>
          <w:sz w:val="24"/>
        </w:rPr>
        <w:t xml:space="preserve"> and the Mann-Whitney U test for non-parametric confirmation. Second, we fitted multilevel linear mixed models with secondary medical areas (level 1, n = 335) nested within prefectures (level 2, n = 47).</w:t>
      </w:r>
      <w:r>
        <w:rPr>
          <w:rFonts w:ascii="Times New Roman" w:hAnsi="Times New Roman"/>
          <w:sz w:val="24"/>
          <w:vertAlign w:val="superscript"/>
        </w:rPr>
        <w:t>16</w:t>
      </w:r>
      <w:r>
        <w:rPr>
          <w:rFonts w:ascii="Times New Roman" w:hAnsi="Times New Roman"/>
          <w:sz w:val="24"/>
        </w:rPr>
        <w:t xml:space="preserve"> A null random-intercept model was fitted first to estimate the intraclass correlation coefficient. Subsequent models added fixed effects for university hospital presence, anaesthesiologist density (standardised) and total physician density (standardised). Models were estimated by restricted maximum likelihood using the Python statsmodels MixedLM implementation.</w:t>
      </w:r>
      <w:r>
        <w:rPr>
          <w:rFonts w:ascii="Times New Roman" w:hAnsi="Times New Roman"/>
          <w:sz w:val="24"/>
          <w:vertAlign w:val="superscript"/>
        </w:rPr>
        <w:t>17</w:t>
      </w:r>
      <w:r>
        <w:rPr>
          <w:rFonts w:ascii="Times New Roman" w:hAnsi="Times New Roman"/>
          <w:sz w:val="24"/>
        </w:rPr>
        <w:t xml:space="preserve"> Marginal R² was calculated as the proportional reduction in total variance from the null model. To address potential instability of ratios in low-volume areas, we applied empirical Bayes shrinkage estimation</w:t>
      </w:r>
      <w:r>
        <w:rPr>
          <w:rFonts w:ascii="Times New Roman" w:hAnsi="Times New Roman"/>
          <w:sz w:val="24"/>
          <w:vertAlign w:val="superscript"/>
        </w:rPr>
        <w:t>18</w:t>
      </w:r>
      <w:r>
        <w:rPr>
          <w:rFonts w:ascii="Times New Roman" w:hAnsi="Times New Roman"/>
          <w:sz w:val="24"/>
        </w:rPr>
        <w:t xml:space="preserve"> and compared all main findings using both raw and shrunken ratios.</w:t>
      </w:r>
    </w:p>
    <w:p>
      <w:r>
        <w:rPr>
          <w:rFonts w:ascii="Times New Roman" w:hAnsi="Times New Roman"/>
          <w:sz w:val="24"/>
        </w:rPr>
        <w:t>Third, three pre-specified sensitivity analyses tested the null hypothesis that insurance auditing explains observed variation. (a) Within-prefecture variance decomposition: under uniform prefectural auditing, within-prefecture variance should be small. We decomposed total variance using one-way analysis of variance and further partitioned the within-prefecture component into university hospital effect and residual using hierarchical sum-of-squares decomposition. (b) Cross-code correlation: audit-driven reclassification between general and spinal anaesthesia codes would produce negative correlations between them. (c) Quantitative audit-impact estimation: we calculated the maximum ratio shift attributable to the observed range of prefectural audit rates. Combined ratios (general plus spinal; general plus epidural) were also examined, since combining substitutable codes should largely absorb any audit-driven reclassification. Patients were not involved in the design, conduct or reporting of this study.</w:t>
      </w:r>
    </w:p>
    <w:p>
      <w:pPr>
        <w:spacing w:before="240" w:after="120"/>
      </w:pPr>
      <w:r>
        <w:rPr>
          <w:rFonts w:ascii="Times New Roman" w:hAnsi="Times New Roman"/>
          <w:b/>
          <w:sz w:val="26"/>
        </w:rPr>
        <w:t>RESULTS</w:t>
      </w:r>
    </w:p>
    <w:p>
      <w:pPr>
        <w:spacing w:before="160" w:after="80"/>
      </w:pPr>
      <w:r>
        <w:rPr>
          <w:rFonts w:ascii="Times New Roman" w:hAnsi="Times New Roman"/>
          <w:b/>
          <w:sz w:val="24"/>
        </w:rPr>
        <w:t>Study population and variation in anaesthesia practice</w:t>
      </w:r>
    </w:p>
    <w:p>
      <w:r>
        <w:rPr>
          <w:rFonts w:ascii="Times New Roman" w:hAnsi="Times New Roman"/>
          <w:sz w:val="24"/>
        </w:rPr>
        <w:t>The 335 secondary medical areas were distributed across 47 prefectures (median 7 areas per prefecture, range 3 to 21); 64 areas (19.1%) contained at least one university hospital. Standardised claim ratios for general anaesthesia were available for 334 of 335 areas; ratios for epidural anaesthesia were available for 307 areas, with 28 areas masked owing to low volume. Substantial variation was observed across all codes (Table 2). General anaesthesia ratios ranged from 2.3 to 435.7 (coefficient of variation 53.6%), a 189-fold difference. Epidural anaesthesia showed the greatest relative variation (coefficient of variation 87.0%); continuous epidural infusion 64.9% and spinal anaesthesia 56.8%. The geographic distribution of ratios is shown in Figure 1.</w:t>
      </w:r>
    </w:p>
    <w:p>
      <w:pPr>
        <w:spacing w:before="160" w:after="80"/>
      </w:pPr>
      <w:r>
        <w:rPr>
          <w:rFonts w:ascii="Times New Roman" w:hAnsi="Times New Roman"/>
          <w:b/>
          <w:sz w:val="24"/>
        </w:rPr>
        <w:t>Multilevel model and university hospital effect</w:t>
      </w:r>
    </w:p>
    <w:p>
      <w:r>
        <w:rPr>
          <w:rFonts w:ascii="Times New Roman" w:hAnsi="Times New Roman"/>
          <w:sz w:val="24"/>
        </w:rPr>
        <w:t>The null multilevel model showed that only 5.8% of general anaesthesia variance was attributable to the prefecture level (intraclass correlation coefficient 0.058), indicating that 94.2% occurred within prefectures where audit policy is uniform. Spinal anaesthesia showed stronger prefecture-level clustering (intraclass correlation coefficient 0.343), consistent with a greater role of prefectural factors for that code. Adding university hospital presence as a fixed effect produced the largest improvement for general anaesthesia (marginal R² 0.358; β = +64.1, 95% confidence interval 54.8 to 73.4) and was statistically significant for every code (all P &lt; 0.001) (Table 3). University hospital areas had higher general anaesthesia ratios than non-university areas in 47 of 47 prefectures, with a mean within-prefecture difference of +63.3 points (paired t = 13.28, P &lt; 0.001) (Figure 2). Cohen's d for the university hospital effect on general anaesthesia was 1.88; on continuous epidural infusion 1.30; on epidural anaesthesia 0.59; and on spinal anaesthesia 0.40.</w:t>
      </w:r>
    </w:p>
    <w:p>
      <w:pPr>
        <w:spacing w:before="160" w:after="80"/>
      </w:pPr>
      <w:r>
        <w:rPr>
          <w:rFonts w:ascii="Times New Roman" w:hAnsi="Times New Roman"/>
          <w:b/>
          <w:sz w:val="24"/>
        </w:rPr>
        <w:t>Sensitivity analyses against the audit hypothesis</w:t>
      </w:r>
    </w:p>
    <w:p>
      <w:r>
        <w:rPr>
          <w:rFonts w:ascii="Times New Roman" w:hAnsi="Times New Roman"/>
          <w:sz w:val="24"/>
        </w:rPr>
        <w:t>All three pre-specified sensitivity analyses converged in rejecting the audit hypothesis. First, within-prefecture variance decomposition attributed 14.5% of general anaesthesia variance to between-prefecture differences, 40.5% to the university hospital effect within prefecture, and 45.0% to residual within-group variation; the university hospital effect alone explained 47.4% of all within-prefecture variance. Second, general and spinal anaesthesia were positively, not negatively, correlated (r = +0.235, P &lt; 0.001), as were general and epidural anaesthesia (r = +0.319, P &lt; 0.001), inconsistent with audit-driven reclassification and consistent with a common supply factor. Third, the maximum prefectural audit-rate difference of 0.21 percentage points could produce a ratio shift of approximately 0.2 points, which is less than 0.3% of the observed interquartile range for general anaesthesia and less than 0.1% for epidural anaesthesia. Combining general and spinal ratios reduced the coefficient of variation only modestly from 53.6% to 43.4% (a 19% reduction), and the university hospital effect remained large on the combined measure (Cohen's d 1.26).</w:t>
      </w:r>
    </w:p>
    <w:p>
      <w:pPr>
        <w:spacing w:before="160" w:after="80"/>
      </w:pPr>
      <w:r>
        <w:rPr>
          <w:rFonts w:ascii="Times New Roman" w:hAnsi="Times New Roman"/>
          <w:b/>
          <w:sz w:val="24"/>
        </w:rPr>
        <w:t>Robustness: empirical Bayes shrinkage and outliers</w:t>
      </w:r>
    </w:p>
    <w:p>
      <w:r>
        <w:rPr>
          <w:rFonts w:ascii="Times New Roman" w:hAnsi="Times New Roman"/>
          <w:sz w:val="24"/>
        </w:rPr>
        <w:t>Empirical Bayes shrinkage toward prefecture means attenuated effect sizes modestly but did not change any conclusion. The university hospital effect on general anaesthesia decreased from Cohen's d = 1.89 (raw) to 1.72 (shrunken), an attenuation of 9.0%; spinal anaesthesia 9.1% (d 0.40 to 0.36); epidural anaesthesia 8.6% (d 0.59 to 0.54). All effect sizes remained large and statistically significant. Two areas were identified as outliers (more than three standard deviations from the mean general anaesthesia ratio): Awa in Chiba (ratio 216.7) and central Tokyo (ratio 435.7, containing five university hospitals). Excluding outliers did not alter the direction or statistical significance of any finding.</w:t>
      </w:r>
    </w:p>
    <w:p>
      <w:pPr>
        <w:spacing w:before="240" w:after="120"/>
      </w:pPr>
      <w:r>
        <w:rPr>
          <w:rFonts w:ascii="Times New Roman" w:hAnsi="Times New Roman"/>
          <w:b/>
          <w:sz w:val="26"/>
        </w:rPr>
        <w:t>DISCUSSION</w:t>
      </w:r>
    </w:p>
    <w:p>
      <w:pPr>
        <w:spacing w:before="160" w:after="80"/>
      </w:pPr>
      <w:r>
        <w:rPr>
          <w:rFonts w:ascii="Times New Roman" w:hAnsi="Times New Roman"/>
          <w:b/>
          <w:sz w:val="24"/>
        </w:rPr>
        <w:t>Statement of principal findings</w:t>
      </w:r>
    </w:p>
    <w:p>
      <w:r>
        <w:rPr>
          <w:rFonts w:ascii="Times New Roman" w:hAnsi="Times New Roman"/>
          <w:sz w:val="24"/>
        </w:rPr>
        <w:t>Regional variation in anaesthesia practice across Japan's 335 secondary medical areas is substantial, with coefficients of variation ranging from 53% for general anaesthesia to 87% for epidural anaesthesia. Multilevel modelling showed that only 5.8% of general anaesthesia variance is attributable to prefectures, while 94.2% occurs within prefectures where audit policy is uniform. University hospital presence explained 35.8% of total variance and 40.5% of within-prefecture variance, and the effect was present in all 47 prefectures despite differing audit practices. Three independent sensitivity analyses converged in rejecting differential auditing as a plausible explanation. The observed variation is therefore predominantly structural, driven by institutional capacity and clinical-organisational factors rather than by administrative coding.</w:t>
      </w:r>
    </w:p>
    <w:p>
      <w:pPr>
        <w:spacing w:before="160" w:after="80"/>
      </w:pPr>
      <w:r>
        <w:rPr>
          <w:rFonts w:ascii="Times New Roman" w:hAnsi="Times New Roman"/>
          <w:b/>
          <w:sz w:val="24"/>
        </w:rPr>
        <w:t>Strengths and limitations</w:t>
      </w:r>
    </w:p>
    <w:p>
      <w:r>
        <w:rPr>
          <w:rFonts w:ascii="Times New Roman" w:hAnsi="Times New Roman"/>
          <w:sz w:val="24"/>
        </w:rPr>
        <w:t>Strengths include the use of age- and sex-standardised ratios covering the entire national population; analysis at a fine geographic scale of 335 areas; multilevel modelling that properly accounts for the nested data structure; empirical Bayes shrinkage to address low-volume instability; multiple pre-specified sensitivity analyses; within-prefecture comparisons that hold audit policy constant; and the residence-based ratio definition that mitigates patient travel effects. Limitations include the ecological fallacy inherent in area-level analysis;</w:t>
      </w:r>
      <w:r>
        <w:rPr>
          <w:rFonts w:ascii="Times New Roman" w:hAnsi="Times New Roman"/>
          <w:sz w:val="24"/>
          <w:vertAlign w:val="superscript"/>
        </w:rPr>
        <w:t>19</w:t>
      </w:r>
      <w:r>
        <w:rPr>
          <w:rFonts w:ascii="Times New Roman" w:hAnsi="Times New Roman"/>
          <w:sz w:val="24"/>
        </w:rPr>
        <w:t xml:space="preserve"> the cross-sectional design, which precludes causal inference; the post-audit nature of the data, which reflects reimbursed rather than intended practice; the partial overlap between university hospital presence and urban concentration; the absence of code-specific audit-rate data; and the inability to quantify defensive undercoding from claims alone. A specific constraint of the publicly available dataset is that the combined anaesthesia add-on billed under L008 (the explicit code for general-plus-epidural technique) is aggregated with other anaesthesia add-ons in the regional variation data release and cannot be extracted separately at the secondary-medical-area level; patient-level National Database records would be required to measure the true rate of combined general-epidural anaesthesia. We therefore used L002 (epidural as main technique) and L003 (continuous epidural infusion) as the publicly reported proxies for regional technique use. Multilevel models included only university hospital presence as a structural fixed effect; future work should add additional area-level covariates such as urbanisation, bed density and case-mix indicators.</w:t>
      </w:r>
    </w:p>
    <w:p>
      <w:pPr>
        <w:spacing w:before="160" w:after="80"/>
      </w:pPr>
      <w:r>
        <w:rPr>
          <w:rFonts w:ascii="Times New Roman" w:hAnsi="Times New Roman"/>
          <w:b/>
          <w:sz w:val="24"/>
        </w:rPr>
        <w:t>Interpretation within the context of the wider literature</w:t>
      </w:r>
    </w:p>
    <w:p>
      <w:r>
        <w:rPr>
          <w:rFonts w:ascii="Times New Roman" w:hAnsi="Times New Roman"/>
          <w:sz w:val="24"/>
        </w:rPr>
        <w:t>Our findings are consistent with the broader medical practice variation literature. The Dartmouth Atlas project documented extensive regional variation in surgical rates in the United States, driven primarily by physician supply and practice style.</w:t>
      </w:r>
      <w:r>
        <w:rPr>
          <w:rFonts w:ascii="Times New Roman" w:hAnsi="Times New Roman"/>
          <w:sz w:val="24"/>
          <w:vertAlign w:val="superscript"/>
        </w:rPr>
        <w:t>21</w:t>
      </w:r>
      <w:r>
        <w:rPr>
          <w:rFonts w:ascii="Times New Roman" w:hAnsi="Times New Roman"/>
          <w:sz w:val="24"/>
        </w:rPr>
        <w:t xml:space="preserve"> Comparable patterns have been described for the National Health Service</w:t>
      </w:r>
      <w:r>
        <w:rPr>
          <w:rFonts w:ascii="Times New Roman" w:hAnsi="Times New Roman"/>
          <w:sz w:val="24"/>
          <w:vertAlign w:val="superscript"/>
        </w:rPr>
        <w:t>22</w:t>
      </w:r>
      <w:r>
        <w:rPr>
          <w:rFonts w:ascii="Times New Roman" w:hAnsi="Times New Roman"/>
          <w:sz w:val="24"/>
        </w:rPr>
        <w:t xml:space="preserve"> and in Germany</w:t>
      </w:r>
      <w:r>
        <w:rPr>
          <w:rFonts w:ascii="Times New Roman" w:hAnsi="Times New Roman"/>
          <w:sz w:val="24"/>
          <w:vertAlign w:val="superscript"/>
        </w:rPr>
        <w:t>23</w:t>
      </w:r>
      <w:r>
        <w:rPr>
          <w:rFonts w:ascii="Times New Roman" w:hAnsi="Times New Roman"/>
          <w:sz w:val="24"/>
        </w:rPr>
        <w:t xml:space="preserve"> and Australia.</w:t>
      </w:r>
      <w:r>
        <w:rPr>
          <w:rFonts w:ascii="Times New Roman" w:hAnsi="Times New Roman"/>
          <w:sz w:val="24"/>
          <w:vertAlign w:val="superscript"/>
        </w:rPr>
        <w:t>24</w:t>
      </w:r>
      <w:r>
        <w:rPr>
          <w:rFonts w:ascii="Times New Roman" w:hAnsi="Times New Roman"/>
          <w:sz w:val="24"/>
        </w:rPr>
        <w:t xml:space="preserve"> Our study extends this evidence by exploiting Japan's uniquely uniform fee schedule combined with prefecture-specific auditing to disentangle administrative and clinical sources of variation, and by providing the first multilevel small-area analysis of anaesthesia technique under universal coverage in East Asia. The university hospital effect we report (Cohen's d = 1.88) is unusually large compared with effect sizes typically reported in this literature, plausibly reflecting the influence of the ikyoku (university medical office) system on clinical practice in affiliated hospitals.</w:t>
      </w:r>
      <w:r>
        <w:rPr>
          <w:rFonts w:ascii="Times New Roman" w:hAnsi="Times New Roman"/>
          <w:sz w:val="24"/>
          <w:vertAlign w:val="superscript"/>
        </w:rPr>
        <w:t>25</w:t>
      </w:r>
      <w:r>
        <w:rPr>
          <w:rFonts w:ascii="Times New Roman" w:hAnsi="Times New Roman"/>
          <w:sz w:val="24"/>
        </w:rPr>
        <w:t xml:space="preserve"> The intraclass correlation coefficient of 0.058 for general anaesthesia is also noticeably lower than coefficients reported for surgical procedure rates in the United States,</w:t>
      </w:r>
      <w:r>
        <w:rPr>
          <w:rFonts w:ascii="Times New Roman" w:hAnsi="Times New Roman"/>
          <w:sz w:val="24"/>
          <w:vertAlign w:val="superscript"/>
        </w:rPr>
        <w:t>21</w:t>
      </w:r>
      <w:r>
        <w:rPr>
          <w:rFonts w:ascii="Times New Roman" w:hAnsi="Times New Roman"/>
          <w:sz w:val="24"/>
        </w:rPr>
        <w:t xml:space="preserve"> indicating that within-prefecture institutional factors dominate over prefectural-level factors for this code.</w:t>
      </w:r>
    </w:p>
    <w:p>
      <w:r>
        <w:rPr>
          <w:rFonts w:ascii="Times New Roman" w:hAnsi="Times New Roman"/>
          <w:sz w:val="24"/>
        </w:rPr>
        <w:t>Our findings and framework extend beyond Japan in four respects. First, the within-prefecture variance decomposition we describe is directly transportable to other universal-coverage systems that combine a centrally uniform fee schedule with regionally devolved claims auditing, including Taiwan's National Health Insurance,</w:t>
      </w:r>
      <w:r>
        <w:rPr>
          <w:rFonts w:ascii="Times New Roman" w:hAnsi="Times New Roman"/>
          <w:sz w:val="24"/>
          <w:vertAlign w:val="superscript"/>
        </w:rPr>
        <w:t>20</w:t>
      </w:r>
      <w:r>
        <w:rPr>
          <w:rFonts w:ascii="Times New Roman" w:hAnsi="Times New Roman"/>
          <w:sz w:val="24"/>
        </w:rPr>
        <w:t xml:space="preserve"> South Korea's National Health Insurance Service, and the tariff-based systems of Germany, France and the English National Health Service.</w:t>
      </w:r>
      <w:r>
        <w:rPr>
          <w:rFonts w:ascii="Times New Roman" w:hAnsi="Times New Roman"/>
          <w:sz w:val="24"/>
          <w:vertAlign w:val="superscript"/>
        </w:rPr>
        <w:t>22,23</w:t>
      </w:r>
      <w:r>
        <w:rPr>
          <w:rFonts w:ascii="Times New Roman" w:hAnsi="Times New Roman"/>
          <w:sz w:val="24"/>
        </w:rPr>
        <w:t xml:space="preserve"> Second, the dominance of tertiary-teaching-hospital concentration as a structural determinant of technique choice echoes analogous patterns for teaching-hospital anaesthesia mix reported in the US and United Kingdom,</w:t>
      </w:r>
      <w:r>
        <w:rPr>
          <w:rFonts w:ascii="Times New Roman" w:hAnsi="Times New Roman"/>
          <w:sz w:val="24"/>
          <w:vertAlign w:val="superscript"/>
        </w:rPr>
        <w:t>21,22</w:t>
      </w:r>
      <w:r>
        <w:rPr>
          <w:rFonts w:ascii="Times New Roman" w:hAnsi="Times New Roman"/>
          <w:sz w:val="24"/>
        </w:rPr>
        <w:t xml:space="preserve"> and for other tertiary-intensive specialties across OECD countries;</w:t>
      </w:r>
      <w:r>
        <w:rPr>
          <w:rFonts w:ascii="Times New Roman" w:hAnsi="Times New Roman"/>
          <w:sz w:val="24"/>
          <w:vertAlign w:val="superscript"/>
        </w:rPr>
        <w:t>26</w:t>
      </w:r>
      <w:r>
        <w:rPr>
          <w:rFonts w:ascii="Times New Roman" w:hAnsi="Times New Roman"/>
          <w:sz w:val="24"/>
        </w:rPr>
        <w:t xml:space="preserve"> the consistency of the university effect across 47 of 47 prefectures in our data suggests that it is a robust feature of high-income health systems rather than a Japanese idiosyncrasy. Third, the variation we identify in epidural anaesthesia (L002, coefficient of variation 87.0%) and continuous epidural infusion (L003, 64.9%) speaks to an international equity agenda: where emerging evidence links regional anaesthesia to oncological and functional outcomes,</w:t>
      </w:r>
      <w:r>
        <w:rPr>
          <w:rFonts w:ascii="Times New Roman" w:hAnsi="Times New Roman"/>
          <w:sz w:val="24"/>
          <w:vertAlign w:val="superscript"/>
        </w:rPr>
        <w:t>7-9</w:t>
      </w:r>
      <w:r>
        <w:rPr>
          <w:rFonts w:ascii="Times New Roman" w:hAnsi="Times New Roman"/>
          <w:sz w:val="24"/>
        </w:rPr>
        <w:t xml:space="preserve"> monitoring the distribution of anaesthesia techniques could serve as a system-level quality indicator across any universal coverage setting committed to equitable access to technology-rich care.</w:t>
      </w:r>
      <w:r>
        <w:rPr>
          <w:rFonts w:ascii="Times New Roman" w:hAnsi="Times New Roman"/>
          <w:sz w:val="24"/>
          <w:vertAlign w:val="superscript"/>
        </w:rPr>
        <w:t>27,29</w:t>
      </w:r>
      <w:r>
        <w:rPr>
          <w:rFonts w:ascii="Times New Roman" w:hAnsi="Times New Roman"/>
          <w:sz w:val="24"/>
        </w:rPr>
        <w:t xml:space="preserve"> Fourth, extrapolation to low- and middle-income countries is more cautious: fee schedules and audit arrangements are typically heterogeneous and claims data often incomplete, which limits direct replication of the decomposition. Nevertheless, the general principle — that apparent small-area variation should be interrogated for administrative versus structural origins before policy action — is transferable, particularly as low- and middle-income countries progressively standardise their fee schedules under universal health coverage reforms.</w:t>
      </w:r>
      <w:r>
        <w:rPr>
          <w:rFonts w:ascii="Times New Roman" w:hAnsi="Times New Roman"/>
          <w:sz w:val="24"/>
          <w:vertAlign w:val="superscript"/>
        </w:rPr>
        <w:t>2</w:t>
      </w:r>
    </w:p>
    <w:p>
      <w:pPr>
        <w:spacing w:before="160" w:after="80"/>
      </w:pPr>
      <w:r>
        <w:rPr>
          <w:rFonts w:ascii="Times New Roman" w:hAnsi="Times New Roman"/>
          <w:b/>
          <w:sz w:val="24"/>
        </w:rPr>
        <w:t>Implications for policy, practice and research</w:t>
      </w:r>
    </w:p>
    <w:p>
      <w:r>
        <w:rPr>
          <w:rFonts w:ascii="Times New Roman" w:hAnsi="Times New Roman"/>
          <w:sz w:val="24"/>
        </w:rPr>
        <w:t>The marked variation in continuous epidural infusion (L003; coefficient of variation 64.9%) and in epidural anaesthesia (L002; 87.0%) is clinically important because general anaesthesia supplemented with regional techniques has been linked, albeit inconsistently, with better oncological outcomes.</w:t>
      </w:r>
      <w:r>
        <w:rPr>
          <w:rFonts w:ascii="Times New Roman" w:hAnsi="Times New Roman"/>
          <w:sz w:val="24"/>
          <w:vertAlign w:val="superscript"/>
        </w:rPr>
        <w:t>7-9</w:t>
      </w:r>
      <w:r>
        <w:rPr>
          <w:rFonts w:ascii="Times New Roman" w:hAnsi="Times New Roman"/>
          <w:sz w:val="24"/>
        </w:rPr>
        <w:t xml:space="preserve"> A 1.73-fold difference in continuous epidural infusion ratios between university and non-university areas implies that patients' access to a potentially beneficial technique depends substantially on where they live, which challenges the equity premise of Japan's universal coverage. Quality improvement responses could include targeted education, specialist outreach from university centres, and monitoring anaesthesia technique distribution as a system-level quality indicator,</w:t>
      </w:r>
      <w:r>
        <w:rPr>
          <w:rFonts w:ascii="Times New Roman" w:hAnsi="Times New Roman"/>
          <w:sz w:val="24"/>
          <w:vertAlign w:val="superscript"/>
        </w:rPr>
        <w:t>27,29</w:t>
      </w:r>
      <w:r>
        <w:rPr>
          <w:rFonts w:ascii="Times New Roman" w:hAnsi="Times New Roman"/>
          <w:sz w:val="24"/>
        </w:rPr>
        <w:t xml:space="preserve"> aligned with international standards for safe practice of anaesthesia.</w:t>
      </w:r>
      <w:r>
        <w:rPr>
          <w:rFonts w:ascii="Times New Roman" w:hAnsi="Times New Roman"/>
          <w:sz w:val="24"/>
          <w:vertAlign w:val="superscript"/>
        </w:rPr>
        <w:t>28</w:t>
      </w:r>
      <w:r>
        <w:rPr>
          <w:rFonts w:ascii="Times New Roman" w:hAnsi="Times New Roman"/>
          <w:sz w:val="24"/>
        </w:rPr>
        <w:t xml:space="preserve"> The within-prefecture variance decomposition and multilevel sensitivity framework developed here are generalisable to other procedures under universal insurance and provide a transferable tool for distinguishing administrative from structural sources of small-area variation.</w:t>
      </w:r>
    </w:p>
    <w:p>
      <w:pPr>
        <w:spacing w:before="240" w:after="120"/>
      </w:pPr>
      <w:r>
        <w:rPr>
          <w:rFonts w:ascii="Times New Roman" w:hAnsi="Times New Roman"/>
          <w:b/>
          <w:sz w:val="26"/>
        </w:rPr>
        <w:t>CONCLUSIONS</w:t>
      </w:r>
    </w:p>
    <w:p>
      <w:r>
        <w:rPr>
          <w:rFonts w:ascii="Times New Roman" w:hAnsi="Times New Roman"/>
          <w:sz w:val="24"/>
        </w:rPr>
        <w:t>Regional variation in anaesthesia practice in Japan is large and predominantly structural rather than an artefact of insurance auditing. University hospital presence is the dominant determinant, explaining more than one third of total variance in general anaesthesia. The variation in epidural anaesthesia (L002) and continuous epidural infusion (L003) is of particular concern given emerging evidence of oncological benefit from regional techniques. Quality improvement and equity policy should address the supply and organisational determinants of anaesthesia practice rather than treat the variation as an unavoidable feature of claims processing.</w:t>
      </w:r>
    </w:p>
    <w:p>
      <w:pPr>
        <w:spacing w:before="240" w:after="120"/>
      </w:pPr>
      <w:r>
        <w:rPr>
          <w:rFonts w:ascii="Times New Roman" w:hAnsi="Times New Roman"/>
          <w:b/>
          <w:sz w:val="26"/>
        </w:rPr>
        <w:t>REFERENCES</w:t>
      </w:r>
    </w:p>
    <w:p>
      <w:pPr>
        <w:spacing w:after="0" w:line="480" w:lineRule="auto"/>
      </w:pPr>
      <w:r>
        <w:rPr>
          <w:rFonts w:ascii="Times New Roman" w:hAnsi="Times New Roman"/>
          <w:sz w:val="24"/>
        </w:rPr>
        <w:t xml:space="preserve">1. </w:t>
      </w:r>
      <w:r>
        <w:rPr>
          <w:rFonts w:ascii="Times New Roman" w:hAnsi="Times New Roman"/>
          <w:sz w:val="24"/>
        </w:rPr>
        <w:t>Ikegami N, Yoo BK, Hashimoto H, et al. Japanese universal health coverage: evolution, achievements, and challenges. Lancet 2011;378:1106-15.</w:t>
      </w:r>
    </w:p>
    <w:p>
      <w:pPr>
        <w:spacing w:after="0" w:line="480" w:lineRule="auto"/>
      </w:pPr>
      <w:r>
        <w:rPr>
          <w:rFonts w:ascii="Times New Roman" w:hAnsi="Times New Roman"/>
          <w:sz w:val="24"/>
        </w:rPr>
        <w:t xml:space="preserve">2. </w:t>
      </w:r>
      <w:r>
        <w:rPr>
          <w:rFonts w:ascii="Times New Roman" w:hAnsi="Times New Roman"/>
          <w:sz w:val="24"/>
        </w:rPr>
        <w:t>GBD 2019 Universal Health Coverage Collaborators. Measuring universal health coverage based on an index of effective coverage of health services in 204 countries and territories, 1990-2019. Lancet 2020;396:1250-84.</w:t>
      </w:r>
    </w:p>
    <w:p>
      <w:pPr>
        <w:spacing w:after="0" w:line="480" w:lineRule="auto"/>
      </w:pPr>
      <w:r>
        <w:rPr>
          <w:rFonts w:ascii="Times New Roman" w:hAnsi="Times New Roman"/>
          <w:sz w:val="24"/>
        </w:rPr>
        <w:t xml:space="preserve">3. </w:t>
      </w:r>
      <w:r>
        <w:rPr>
          <w:rFonts w:ascii="Times New Roman" w:hAnsi="Times New Roman"/>
          <w:sz w:val="24"/>
        </w:rPr>
        <w:t>Matsuda S. Health policy in Japan: current situation and future challenges. JMA J 2019;2:1-10.</w:t>
      </w:r>
    </w:p>
    <w:p>
      <w:pPr>
        <w:spacing w:after="0" w:line="480" w:lineRule="auto"/>
      </w:pPr>
      <w:r>
        <w:rPr>
          <w:rFonts w:ascii="Times New Roman" w:hAnsi="Times New Roman"/>
          <w:sz w:val="24"/>
        </w:rPr>
        <w:t xml:space="preserve">4. </w:t>
      </w:r>
      <w:r>
        <w:rPr>
          <w:rFonts w:ascii="Times New Roman" w:hAnsi="Times New Roman"/>
          <w:sz w:val="24"/>
        </w:rPr>
        <w:t>Ministry of Health, Labour and Welfare. Patient Survey 2008. Tokyo: MHLW, 2009.</w:t>
      </w:r>
    </w:p>
    <w:p>
      <w:pPr>
        <w:spacing w:after="0" w:line="480" w:lineRule="auto"/>
      </w:pPr>
      <w:r>
        <w:rPr>
          <w:rFonts w:ascii="Times New Roman" w:hAnsi="Times New Roman"/>
          <w:sz w:val="24"/>
        </w:rPr>
        <w:t xml:space="preserve">5. </w:t>
      </w:r>
      <w:r>
        <w:rPr>
          <w:rFonts w:ascii="Times New Roman" w:hAnsi="Times New Roman"/>
          <w:sz w:val="24"/>
        </w:rPr>
        <w:t>Hashimoto H, Ikegami N, Shibuya K, et al. Cost containment and quality of care in Japan: is there a trade-off? Lancet 2011;378:1174-82.</w:t>
      </w:r>
    </w:p>
    <w:p>
      <w:pPr>
        <w:spacing w:after="0" w:line="480" w:lineRule="auto"/>
      </w:pPr>
      <w:r>
        <w:rPr>
          <w:rFonts w:ascii="Times New Roman" w:hAnsi="Times New Roman"/>
          <w:sz w:val="24"/>
        </w:rPr>
        <w:t xml:space="preserve">6. </w:t>
      </w:r>
      <w:r>
        <w:rPr>
          <w:rFonts w:ascii="Times New Roman" w:hAnsi="Times New Roman"/>
          <w:sz w:val="24"/>
        </w:rPr>
        <w:t>Cabinet Office. Indicators of regional variation in healthcare and long-term care: insurance auditing rates by prefecture. Tokyo: Cabinet Office, 2023.</w:t>
      </w:r>
    </w:p>
    <w:p>
      <w:pPr>
        <w:spacing w:after="0" w:line="480" w:lineRule="auto"/>
      </w:pPr>
      <w:r>
        <w:rPr>
          <w:rFonts w:ascii="Times New Roman" w:hAnsi="Times New Roman"/>
          <w:sz w:val="24"/>
        </w:rPr>
        <w:t xml:space="preserve">7. </w:t>
      </w:r>
      <w:r>
        <w:rPr>
          <w:rFonts w:ascii="Times New Roman" w:hAnsi="Times New Roman"/>
          <w:sz w:val="24"/>
        </w:rPr>
        <w:t>Sessler DI, Pei L, Huang Y, et al. Recurrence of breast cancer after regional or general anaesthesia: a randomised controlled trial. Lancet 2019;394:1807-15.</w:t>
      </w:r>
    </w:p>
    <w:p>
      <w:pPr>
        <w:spacing w:after="0" w:line="480" w:lineRule="auto"/>
      </w:pPr>
      <w:r>
        <w:rPr>
          <w:rFonts w:ascii="Times New Roman" w:hAnsi="Times New Roman"/>
          <w:sz w:val="24"/>
        </w:rPr>
        <w:t xml:space="preserve">8. </w:t>
      </w:r>
      <w:r>
        <w:rPr>
          <w:rFonts w:ascii="Times New Roman" w:hAnsi="Times New Roman"/>
          <w:sz w:val="24"/>
        </w:rPr>
        <w:t>Chen WK, Miao CH. The effect of anesthetic technique on survival in human cancers: a meta-analysis of retrospective and prospective studies. PLoS One 2013;8:e56540.</w:t>
      </w:r>
    </w:p>
    <w:p>
      <w:pPr>
        <w:spacing w:after="0" w:line="480" w:lineRule="auto"/>
      </w:pPr>
      <w:r>
        <w:rPr>
          <w:rFonts w:ascii="Times New Roman" w:hAnsi="Times New Roman"/>
          <w:sz w:val="24"/>
        </w:rPr>
        <w:t xml:space="preserve">9. </w:t>
      </w:r>
      <w:r>
        <w:rPr>
          <w:rFonts w:ascii="Times New Roman" w:hAnsi="Times New Roman"/>
          <w:sz w:val="24"/>
        </w:rPr>
        <w:t>Weng M, Chen W, Hou W, et al. The effect of neuraxial anaesthesia on cancer recurrence and survival after cancer surgery: an updated meta-analysis. Oncotarget 2016;7:15262-73.</w:t>
      </w:r>
    </w:p>
    <w:p>
      <w:pPr>
        <w:spacing w:after="0" w:line="480" w:lineRule="auto"/>
      </w:pPr>
      <w:r>
        <w:rPr>
          <w:rFonts w:ascii="Times New Roman" w:hAnsi="Times New Roman"/>
          <w:sz w:val="24"/>
        </w:rPr>
        <w:t xml:space="preserve">10. </w:t>
      </w:r>
      <w:r>
        <w:rPr>
          <w:rFonts w:ascii="Times New Roman" w:hAnsi="Times New Roman"/>
          <w:sz w:val="24"/>
        </w:rPr>
        <w:t>Ministry of Health, Labour and Welfare. 2026 revision of the medical fee schedule: notice on anaesthesia code revisions. Tokyo: MHLW, 2025.</w:t>
      </w:r>
    </w:p>
    <w:p>
      <w:pPr>
        <w:spacing w:after="0" w:line="480" w:lineRule="auto"/>
      </w:pPr>
      <w:r>
        <w:rPr>
          <w:rFonts w:ascii="Times New Roman" w:hAnsi="Times New Roman"/>
          <w:sz w:val="24"/>
        </w:rPr>
        <w:t xml:space="preserve">11. </w:t>
      </w:r>
      <w:r>
        <w:rPr>
          <w:rFonts w:ascii="Times New Roman" w:hAnsi="Times New Roman"/>
          <w:sz w:val="24"/>
        </w:rPr>
        <w:t>Wennberg JE, Cooper MM, eds. The Dartmouth Atlas of Health Care. Chicago: American Hospital Publishing, 1999.</w:t>
      </w:r>
    </w:p>
    <w:p>
      <w:pPr>
        <w:spacing w:after="0" w:line="480" w:lineRule="auto"/>
      </w:pPr>
      <w:r>
        <w:rPr>
          <w:rFonts w:ascii="Times New Roman" w:hAnsi="Times New Roman"/>
          <w:sz w:val="24"/>
        </w:rPr>
        <w:t xml:space="preserve">12. </w:t>
      </w:r>
      <w:r>
        <w:rPr>
          <w:rFonts w:ascii="Times New Roman" w:hAnsi="Times New Roman"/>
          <w:sz w:val="24"/>
        </w:rPr>
        <w:t>Cabinet Office. Regional variation visualisation (chiikisa no mieruka). https://www5.cao.go.jp/keizai-shimon/kaigi/special/reform/mieruka/ (accessed 10 Mar 2026).</w:t>
      </w:r>
    </w:p>
    <w:p>
      <w:pPr>
        <w:spacing w:after="0" w:line="480" w:lineRule="auto"/>
      </w:pPr>
      <w:r>
        <w:rPr>
          <w:rFonts w:ascii="Times New Roman" w:hAnsi="Times New Roman"/>
          <w:sz w:val="24"/>
        </w:rPr>
        <w:t xml:space="preserve">13. </w:t>
      </w:r>
      <w:r>
        <w:rPr>
          <w:rFonts w:ascii="Times New Roman" w:hAnsi="Times New Roman"/>
          <w:sz w:val="24"/>
        </w:rPr>
        <w:t>Ministry of Health, Labour and Welfare. Survey of Physicians, Dentists and Pharmacists 2022 (e-Stat). https://www.e-stat.go.jp (accessed 12 Mar 2026).</w:t>
      </w:r>
    </w:p>
    <w:p>
      <w:pPr>
        <w:spacing w:after="0" w:line="480" w:lineRule="auto"/>
      </w:pPr>
      <w:r>
        <w:rPr>
          <w:rFonts w:ascii="Times New Roman" w:hAnsi="Times New Roman"/>
          <w:sz w:val="24"/>
        </w:rPr>
        <w:t xml:space="preserve">14. </w:t>
      </w:r>
      <w:r>
        <w:rPr>
          <w:rFonts w:ascii="Times New Roman" w:hAnsi="Times New Roman"/>
          <w:sz w:val="24"/>
        </w:rPr>
        <w:t>Ministry of Land, Infrastructure, Transport and Tourism. National Land Numerical Information download service. https://nlftp.mlit.go.jp (accessed 10 Mar 2026).</w:t>
      </w:r>
    </w:p>
    <w:p>
      <w:pPr>
        <w:spacing w:after="0" w:line="480" w:lineRule="auto"/>
      </w:pPr>
      <w:r>
        <w:rPr>
          <w:rFonts w:ascii="Times New Roman" w:hAnsi="Times New Roman"/>
          <w:sz w:val="24"/>
        </w:rPr>
        <w:t xml:space="preserve">15. </w:t>
      </w:r>
      <w:r>
        <w:rPr>
          <w:rFonts w:ascii="Times New Roman" w:hAnsi="Times New Roman"/>
          <w:sz w:val="24"/>
        </w:rPr>
        <w:t>Cohen J. Statistical Power Analysis for the Behavioral Sciences. 2nd ed. Hillsdale, NJ: Lawrence Erlbaum, 1988.</w:t>
      </w:r>
    </w:p>
    <w:p>
      <w:pPr>
        <w:spacing w:after="0" w:line="480" w:lineRule="auto"/>
      </w:pPr>
      <w:r>
        <w:rPr>
          <w:rFonts w:ascii="Times New Roman" w:hAnsi="Times New Roman"/>
          <w:sz w:val="24"/>
        </w:rPr>
        <w:t xml:space="preserve">16. </w:t>
      </w:r>
      <w:r>
        <w:rPr>
          <w:rFonts w:ascii="Times New Roman" w:hAnsi="Times New Roman"/>
          <w:sz w:val="24"/>
        </w:rPr>
        <w:t>Rabe-Hesketh S, Skrondal A. Multilevel and Longitudinal Modeling Using Stata. 3rd ed. College Station, TX: Stata Press, 2012.</w:t>
      </w:r>
    </w:p>
    <w:p>
      <w:pPr>
        <w:spacing w:after="0" w:line="480" w:lineRule="auto"/>
      </w:pPr>
      <w:r>
        <w:rPr>
          <w:rFonts w:ascii="Times New Roman" w:hAnsi="Times New Roman"/>
          <w:sz w:val="24"/>
        </w:rPr>
        <w:t xml:space="preserve">17. </w:t>
      </w:r>
      <w:r>
        <w:rPr>
          <w:rFonts w:ascii="Times New Roman" w:hAnsi="Times New Roman"/>
          <w:sz w:val="24"/>
        </w:rPr>
        <w:t>Seabold S, Perktold J. Statsmodels: econometric and statistical modeling with Python. In: Proceedings of the 9th Python in Science Conference. 2010:92-6.</w:t>
      </w:r>
    </w:p>
    <w:p>
      <w:pPr>
        <w:spacing w:after="0" w:line="480" w:lineRule="auto"/>
      </w:pPr>
      <w:r>
        <w:rPr>
          <w:rFonts w:ascii="Times New Roman" w:hAnsi="Times New Roman"/>
          <w:sz w:val="24"/>
        </w:rPr>
        <w:t xml:space="preserve">18. </w:t>
      </w:r>
      <w:r>
        <w:rPr>
          <w:rFonts w:ascii="Times New Roman" w:hAnsi="Times New Roman"/>
          <w:sz w:val="24"/>
        </w:rPr>
        <w:t>Efron B, Morris C. Stein's estimation rule and its competitors: an empirical Bayes approach. J Am Stat Assoc 1973;68:117-30.</w:t>
      </w:r>
    </w:p>
    <w:p>
      <w:pPr>
        <w:spacing w:after="0" w:line="480" w:lineRule="auto"/>
      </w:pPr>
      <w:r>
        <w:rPr>
          <w:rFonts w:ascii="Times New Roman" w:hAnsi="Times New Roman"/>
          <w:sz w:val="24"/>
        </w:rPr>
        <w:t xml:space="preserve">19. </w:t>
      </w:r>
      <w:r>
        <w:rPr>
          <w:rFonts w:ascii="Times New Roman" w:hAnsi="Times New Roman"/>
          <w:sz w:val="24"/>
        </w:rPr>
        <w:t>Greenland S. Ecologic versus individual-level sources of bias in ecologic estimates of contextual health effects. Int J Epidemiol 2001;30:1343-50.</w:t>
      </w:r>
    </w:p>
    <w:p>
      <w:pPr>
        <w:spacing w:after="0" w:line="480" w:lineRule="auto"/>
      </w:pPr>
      <w:r>
        <w:rPr>
          <w:rFonts w:ascii="Times New Roman" w:hAnsi="Times New Roman"/>
          <w:sz w:val="24"/>
        </w:rPr>
        <w:t xml:space="preserve">20. </w:t>
      </w:r>
      <w:r>
        <w:rPr>
          <w:rFonts w:ascii="Times New Roman" w:hAnsi="Times New Roman"/>
          <w:sz w:val="24"/>
        </w:rPr>
        <w:t>Cheng T-M. Taiwan's new national health insurance program: genesis and experience so far. Health Aff (Millwood) 2003;22:61-76.</w:t>
      </w:r>
    </w:p>
    <w:p>
      <w:pPr>
        <w:spacing w:after="0" w:line="480" w:lineRule="auto"/>
      </w:pPr>
      <w:r>
        <w:rPr>
          <w:rFonts w:ascii="Times New Roman" w:hAnsi="Times New Roman"/>
          <w:sz w:val="24"/>
        </w:rPr>
        <w:t xml:space="preserve">21. </w:t>
      </w:r>
      <w:r>
        <w:rPr>
          <w:rFonts w:ascii="Times New Roman" w:hAnsi="Times New Roman"/>
          <w:sz w:val="24"/>
        </w:rPr>
        <w:t>Wennberg JE, Fisher ES, Skinner JS. Geography and the debate over Medicare reform. Health Aff (Millwood) 2002;Suppl Web Exclusives:W96-114.</w:t>
      </w:r>
    </w:p>
    <w:p>
      <w:pPr>
        <w:spacing w:after="0" w:line="480" w:lineRule="auto"/>
      </w:pPr>
      <w:r>
        <w:rPr>
          <w:rFonts w:ascii="Times New Roman" w:hAnsi="Times New Roman"/>
          <w:sz w:val="24"/>
        </w:rPr>
        <w:t xml:space="preserve">22. </w:t>
      </w:r>
      <w:r>
        <w:rPr>
          <w:rFonts w:ascii="Times New Roman" w:hAnsi="Times New Roman"/>
          <w:sz w:val="24"/>
        </w:rPr>
        <w:t>NHS RightCare. The NHS Atlas of Variation in Healthcare. London: Public Health England, 2015.</w:t>
      </w:r>
    </w:p>
    <w:p>
      <w:pPr>
        <w:spacing w:after="0" w:line="480" w:lineRule="auto"/>
      </w:pPr>
      <w:r>
        <w:rPr>
          <w:rFonts w:ascii="Times New Roman" w:hAnsi="Times New Roman"/>
          <w:sz w:val="24"/>
        </w:rPr>
        <w:t xml:space="preserve">23. </w:t>
      </w:r>
      <w:r>
        <w:rPr>
          <w:rFonts w:ascii="Times New Roman" w:hAnsi="Times New Roman"/>
          <w:sz w:val="24"/>
        </w:rPr>
        <w:t>Wengler A, Nimptsch U, Mansky T. Hip and knee replacement surgery (arthroplasty) and geographic variations in Germany. Dtsch Arztebl Int 2014;111:407-16.</w:t>
      </w:r>
    </w:p>
    <w:p>
      <w:pPr>
        <w:spacing w:after="0" w:line="480" w:lineRule="auto"/>
      </w:pPr>
      <w:r>
        <w:rPr>
          <w:rFonts w:ascii="Times New Roman" w:hAnsi="Times New Roman"/>
          <w:sz w:val="24"/>
        </w:rPr>
        <w:t xml:space="preserve">24. </w:t>
      </w:r>
      <w:r>
        <w:rPr>
          <w:rFonts w:ascii="Times New Roman" w:hAnsi="Times New Roman"/>
          <w:sz w:val="24"/>
        </w:rPr>
        <w:t>Australian Commission on Safety and Quality in Health Care. Australian Atlas of Healthcare Variation. Sydney: ACSQHC, 2015.</w:t>
      </w:r>
    </w:p>
    <w:p>
      <w:pPr>
        <w:spacing w:after="0" w:line="480" w:lineRule="auto"/>
      </w:pPr>
      <w:r>
        <w:rPr>
          <w:rFonts w:ascii="Times New Roman" w:hAnsi="Times New Roman"/>
          <w:sz w:val="24"/>
        </w:rPr>
        <w:t xml:space="preserve">25. </w:t>
      </w:r>
      <w:r>
        <w:rPr>
          <w:rFonts w:ascii="Times New Roman" w:hAnsi="Times New Roman"/>
          <w:sz w:val="24"/>
        </w:rPr>
        <w:t>Otsuka T. The ikyoku system of university orthopaedic surgery departments: an in-hospital organisational system unique to Japan. J Orthop Sci 2012;17:513-14.</w:t>
      </w:r>
    </w:p>
    <w:p>
      <w:pPr>
        <w:spacing w:after="0" w:line="480" w:lineRule="auto"/>
      </w:pPr>
      <w:r>
        <w:rPr>
          <w:rFonts w:ascii="Times New Roman" w:hAnsi="Times New Roman"/>
          <w:sz w:val="24"/>
        </w:rPr>
        <w:t xml:space="preserve">26. </w:t>
      </w:r>
      <w:r>
        <w:rPr>
          <w:rFonts w:ascii="Times New Roman" w:hAnsi="Times New Roman"/>
          <w:sz w:val="24"/>
        </w:rPr>
        <w:t>OECD. Geographic Variations in Health Care: What Do We Know and What Can Be Done to Improve Health System Performance? Paris: OECD Publishing, 2014.</w:t>
      </w:r>
    </w:p>
    <w:p>
      <w:pPr>
        <w:spacing w:after="0" w:line="480" w:lineRule="auto"/>
      </w:pPr>
      <w:r>
        <w:rPr>
          <w:rFonts w:ascii="Times New Roman" w:hAnsi="Times New Roman"/>
          <w:sz w:val="24"/>
        </w:rPr>
        <w:t xml:space="preserve">27. </w:t>
      </w:r>
      <w:r>
        <w:rPr>
          <w:rFonts w:ascii="Times New Roman" w:hAnsi="Times New Roman"/>
          <w:sz w:val="24"/>
        </w:rPr>
        <w:t>Donabedian A. The quality of care: how can it be assessed? JAMA 1988;260:1743-8.</w:t>
      </w:r>
    </w:p>
    <w:p>
      <w:pPr>
        <w:spacing w:after="0" w:line="480" w:lineRule="auto"/>
      </w:pPr>
      <w:r>
        <w:rPr>
          <w:rFonts w:ascii="Times New Roman" w:hAnsi="Times New Roman"/>
          <w:sz w:val="24"/>
        </w:rPr>
        <w:t xml:space="preserve">28. </w:t>
      </w:r>
      <w:r>
        <w:rPr>
          <w:rFonts w:ascii="Times New Roman" w:hAnsi="Times New Roman"/>
          <w:sz w:val="24"/>
        </w:rPr>
        <w:t>Merry AF, Cooper JB, Soyannwo O, et al. International standards for a safe practice of anesthesia 2010. Can J Anesth 2010;57:1027-34.</w:t>
      </w:r>
    </w:p>
    <w:p>
      <w:pPr>
        <w:spacing w:after="0" w:line="480" w:lineRule="auto"/>
      </w:pPr>
      <w:r>
        <w:rPr>
          <w:rFonts w:ascii="Times New Roman" w:hAnsi="Times New Roman"/>
          <w:sz w:val="24"/>
        </w:rPr>
        <w:t xml:space="preserve">29. </w:t>
      </w:r>
      <w:r>
        <w:rPr>
          <w:rFonts w:ascii="Times New Roman" w:hAnsi="Times New Roman"/>
          <w:sz w:val="24"/>
        </w:rPr>
        <w:t>Mainz J. Defining and classifying clinical indicators for quality improvement. Int J Qual Health Care 2003;15:523-30.</w:t>
      </w:r>
    </w:p>
    <w:p>
      <w:pPr>
        <w:spacing w:after="0" w:line="480" w:lineRule="auto"/>
      </w:pPr>
      <w:r>
        <w:rPr>
          <w:rFonts w:ascii="Times New Roman" w:hAnsi="Times New Roman"/>
          <w:sz w:val="24"/>
        </w:rPr>
        <w:t xml:space="preserve">30. </w:t>
      </w:r>
      <w:r>
        <w:rPr>
          <w:rFonts w:ascii="Times New Roman" w:hAnsi="Times New Roman"/>
          <w:sz w:val="24"/>
        </w:rPr>
        <w:t>von Elm E, Altman DG, Egger M, et al. The Strengthening the Reporting of Observational Studies in Epidemiology (STROBE) statement: guidelines for reporting observational studies. Lancet 2007;370:1453-7.</w:t>
      </w:r>
    </w:p>
    <w:p>
      <w:r>
        <w:br w:type="page"/>
      </w:r>
    </w:p>
    <w:p>
      <w:pPr>
        <w:spacing w:before="0" w:after="120"/>
      </w:pPr>
      <w:r>
        <w:rPr>
          <w:rFonts w:ascii="Times New Roman" w:hAnsi="Times New Roman"/>
          <w:b/>
          <w:sz w:val="26"/>
        </w:rPr>
        <w:t>TABLES</w:t>
      </w:r>
    </w:p>
    <w:p>
      <w:r>
        <w:rPr>
          <w:rFonts w:ascii="Times New Roman" w:hAnsi="Times New Roman"/>
          <w:b/>
          <w:sz w:val="24"/>
        </w:rPr>
        <w:t>Table 1. Anaesthesia procedure codes analysed.</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Pr>
                <w:rFonts w:ascii="Times New Roman" w:hAnsi="Times New Roman"/>
                <w:b/>
                <w:sz w:val="22"/>
              </w:rPr>
              <w:t>Code</w:t>
            </w:r>
          </w:p>
        </w:tc>
        <w:tc>
          <w:tcPr>
            <w:tcW w:type="dxa" w:w="3009"/>
          </w:tcPr>
          <w:p>
            <w:r>
              <w:rPr>
                <w:rFonts w:ascii="Times New Roman" w:hAnsi="Times New Roman"/>
                <w:b/>
                <w:sz w:val="22"/>
              </w:rPr>
              <w:t>Procedure</w:t>
            </w:r>
          </w:p>
        </w:tc>
        <w:tc>
          <w:tcPr>
            <w:tcW w:type="dxa" w:w="3009"/>
          </w:tcPr>
          <w:p>
            <w:r>
              <w:rPr>
                <w:rFonts w:ascii="Times New Roman" w:hAnsi="Times New Roman"/>
                <w:b/>
                <w:sz w:val="22"/>
              </w:rPr>
              <w:t>Notes</w:t>
            </w:r>
          </w:p>
        </w:tc>
      </w:tr>
      <w:tr>
        <w:tc>
          <w:tcPr>
            <w:tcW w:type="dxa" w:w="3009"/>
          </w:tcPr>
          <w:p>
            <w:r>
              <w:rPr>
                <w:rFonts w:ascii="Times New Roman" w:hAnsi="Times New Roman"/>
                <w:sz w:val="22"/>
              </w:rPr>
              <w:t>L008</w:t>
            </w:r>
          </w:p>
        </w:tc>
        <w:tc>
          <w:tcPr>
            <w:tcW w:type="dxa" w:w="3009"/>
          </w:tcPr>
          <w:p>
            <w:r>
              <w:rPr>
                <w:rFonts w:ascii="Times New Roman" w:hAnsi="Times New Roman"/>
                <w:sz w:val="22"/>
              </w:rPr>
              <w:t>Closed-circuit general anaesthesia</w:t>
            </w:r>
          </w:p>
        </w:tc>
        <w:tc>
          <w:tcPr>
            <w:tcW w:type="dxa" w:w="3009"/>
          </w:tcPr>
          <w:p>
            <w:r>
              <w:rPr>
                <w:rFonts w:ascii="Times New Roman" w:hAnsi="Times New Roman"/>
                <w:sz w:val="22"/>
              </w:rPr>
              <w:t>Primary indicator of overall general anaesthesia volume</w:t>
            </w:r>
          </w:p>
        </w:tc>
      </w:tr>
      <w:tr>
        <w:tc>
          <w:tcPr>
            <w:tcW w:type="dxa" w:w="3009"/>
          </w:tcPr>
          <w:p>
            <w:r>
              <w:rPr>
                <w:rFonts w:ascii="Times New Roman" w:hAnsi="Times New Roman"/>
                <w:sz w:val="22"/>
              </w:rPr>
              <w:t>L002</w:t>
            </w:r>
          </w:p>
        </w:tc>
        <w:tc>
          <w:tcPr>
            <w:tcW w:type="dxa" w:w="3009"/>
          </w:tcPr>
          <w:p>
            <w:r>
              <w:rPr>
                <w:rFonts w:ascii="Times New Roman" w:hAnsi="Times New Roman"/>
                <w:sz w:val="22"/>
              </w:rPr>
              <w:t>Epidural anaesthesia</w:t>
            </w:r>
          </w:p>
        </w:tc>
        <w:tc>
          <w:tcPr>
            <w:tcW w:type="dxa" w:w="3009"/>
          </w:tcPr>
          <w:p>
            <w:r>
              <w:rPr>
                <w:rFonts w:ascii="Times New Roman" w:hAnsi="Times New Roman"/>
                <w:sz w:val="22"/>
              </w:rPr>
              <w:t>Regional technique claimed as main anaesthetic</w:t>
            </w:r>
          </w:p>
        </w:tc>
      </w:tr>
      <w:tr>
        <w:tc>
          <w:tcPr>
            <w:tcW w:type="dxa" w:w="3009"/>
          </w:tcPr>
          <w:p>
            <w:r>
              <w:rPr>
                <w:rFonts w:ascii="Times New Roman" w:hAnsi="Times New Roman"/>
                <w:sz w:val="22"/>
              </w:rPr>
              <w:t>L003</w:t>
            </w:r>
          </w:p>
        </w:tc>
        <w:tc>
          <w:tcPr>
            <w:tcW w:type="dxa" w:w="3009"/>
          </w:tcPr>
          <w:p>
            <w:r>
              <w:rPr>
                <w:rFonts w:ascii="Times New Roman" w:hAnsi="Times New Roman"/>
                <w:sz w:val="22"/>
              </w:rPr>
              <w:t>Continuous epidural infusion</w:t>
            </w:r>
          </w:p>
        </w:tc>
        <w:tc>
          <w:tcPr>
            <w:tcW w:type="dxa" w:w="3009"/>
          </w:tcPr>
          <w:p>
            <w:r>
              <w:rPr>
                <w:rFonts w:ascii="Times New Roman" w:hAnsi="Times New Roman"/>
                <w:sz w:val="22"/>
              </w:rPr>
              <w:t>Regional technique largely billed as adjunct to general anaesthesia</w:t>
            </w:r>
          </w:p>
        </w:tc>
      </w:tr>
      <w:tr>
        <w:tc>
          <w:tcPr>
            <w:tcW w:type="dxa" w:w="3009"/>
          </w:tcPr>
          <w:p>
            <w:r>
              <w:rPr>
                <w:rFonts w:ascii="Times New Roman" w:hAnsi="Times New Roman"/>
                <w:sz w:val="22"/>
              </w:rPr>
              <w:t>L004</w:t>
            </w:r>
          </w:p>
        </w:tc>
        <w:tc>
          <w:tcPr>
            <w:tcW w:type="dxa" w:w="3009"/>
          </w:tcPr>
          <w:p>
            <w:r>
              <w:rPr>
                <w:rFonts w:ascii="Times New Roman" w:hAnsi="Times New Roman"/>
                <w:sz w:val="22"/>
              </w:rPr>
              <w:t>Spinal anaesthesia</w:t>
            </w:r>
          </w:p>
        </w:tc>
        <w:tc>
          <w:tcPr>
            <w:tcW w:type="dxa" w:w="3009"/>
          </w:tcPr>
          <w:p>
            <w:r>
              <w:rPr>
                <w:rFonts w:ascii="Times New Roman" w:hAnsi="Times New Roman"/>
                <w:sz w:val="22"/>
              </w:rPr>
              <w:t>Alternative regional technique</w:t>
            </w:r>
          </w:p>
        </w:tc>
      </w:tr>
      <w:tr>
        <w:tc>
          <w:tcPr>
            <w:tcW w:type="dxa" w:w="3009"/>
          </w:tcPr>
          <w:p>
            <w:r>
              <w:rPr>
                <w:rFonts w:ascii="Times New Roman" w:hAnsi="Times New Roman"/>
                <w:sz w:val="22"/>
              </w:rPr>
              <w:t>L009</w:t>
            </w:r>
          </w:p>
        </w:tc>
        <w:tc>
          <w:tcPr>
            <w:tcW w:type="dxa" w:w="3009"/>
          </w:tcPr>
          <w:p>
            <w:r>
              <w:rPr>
                <w:rFonts w:ascii="Times New Roman" w:hAnsi="Times New Roman"/>
                <w:sz w:val="22"/>
              </w:rPr>
              <w:t>Anaesthesia management fee I</w:t>
            </w:r>
          </w:p>
        </w:tc>
        <w:tc>
          <w:tcPr>
            <w:tcW w:type="dxa" w:w="3009"/>
          </w:tcPr>
          <w:p>
            <w:r>
              <w:rPr>
                <w:rFonts w:ascii="Times New Roman" w:hAnsi="Times New Roman"/>
                <w:sz w:val="22"/>
              </w:rPr>
              <w:t>Proxy for specialist anaesthesiologist staffing</w:t>
            </w:r>
          </w:p>
        </w:tc>
      </w:tr>
      <w:tr>
        <w:tc>
          <w:tcPr>
            <w:tcW w:type="dxa" w:w="3009"/>
          </w:tcPr>
          <w:p>
            <w:r>
              <w:rPr>
                <w:rFonts w:ascii="Times New Roman" w:hAnsi="Times New Roman"/>
                <w:sz w:val="22"/>
              </w:rPr>
              <w:t>L100</w:t>
            </w:r>
          </w:p>
        </w:tc>
        <w:tc>
          <w:tcPr>
            <w:tcW w:type="dxa" w:w="3009"/>
          </w:tcPr>
          <w:p>
            <w:r>
              <w:rPr>
                <w:rFonts w:ascii="Times New Roman" w:hAnsi="Times New Roman"/>
                <w:sz w:val="22"/>
              </w:rPr>
              <w:t>Nerve block, inpatient</w:t>
            </w:r>
          </w:p>
        </w:tc>
        <w:tc>
          <w:tcPr>
            <w:tcW w:type="dxa" w:w="3009"/>
          </w:tcPr>
          <w:p>
            <w:r>
              <w:rPr>
                <w:rFonts w:ascii="Times New Roman" w:hAnsi="Times New Roman"/>
                <w:sz w:val="22"/>
              </w:rPr>
              <w:t>Indicator of pain-clinic activity</w:t>
            </w:r>
          </w:p>
        </w:tc>
      </w:tr>
    </w:tbl>
    <w:p>
      <w:pPr>
        <w:spacing w:after="0"/>
      </w:pPr>
    </w:p>
    <w:p>
      <w:r>
        <w:rPr>
          <w:rFonts w:ascii="Times New Roman" w:hAnsi="Times New Roman"/>
          <w:i/>
          <w:sz w:val="24"/>
        </w:rPr>
        <w:t>Source: Japanese fee schedule (shinryo houshu tensuhyo), fiscal year 2022. L codes correspond to anaesthesia-related procedures. Standardised claim ratios were computed for each code by indirect age- and sex-standardisation against the national average (= 100).</w:t>
      </w:r>
    </w:p>
    <w:p>
      <w:r>
        <w:br w:type="page"/>
      </w:r>
    </w:p>
    <w:p>
      <w:r>
        <w:rPr>
          <w:rFonts w:ascii="Times New Roman" w:hAnsi="Times New Roman"/>
          <w:b/>
          <w:sz w:val="24"/>
        </w:rPr>
        <w:t>Table 2. Distribution of standardised claim ratios across 335 secondary medical areas (national average = 100), fiscal year 2022.</w:t>
      </w:r>
    </w:p>
    <w:tbl>
      <w:tblPr>
        <w:tblStyle w:val="TableGrid"/>
        <w:tblW w:type="auto" w:w="0"/>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r>
              <w:rPr>
                <w:rFonts w:ascii="Times New Roman" w:hAnsi="Times New Roman"/>
                <w:b/>
                <w:sz w:val="20"/>
              </w:rPr>
              <w:t>Code</w:t>
            </w:r>
          </w:p>
        </w:tc>
        <w:tc>
          <w:tcPr>
            <w:tcW w:type="dxa" w:w="1128"/>
          </w:tcPr>
          <w:p>
            <w:r>
              <w:rPr>
                <w:rFonts w:ascii="Times New Roman" w:hAnsi="Times New Roman"/>
                <w:b/>
                <w:sz w:val="20"/>
              </w:rPr>
              <w:t>n</w:t>
            </w:r>
          </w:p>
        </w:tc>
        <w:tc>
          <w:tcPr>
            <w:tcW w:type="dxa" w:w="1128"/>
          </w:tcPr>
          <w:p>
            <w:r>
              <w:rPr>
                <w:rFonts w:ascii="Times New Roman" w:hAnsi="Times New Roman"/>
                <w:b/>
                <w:sz w:val="20"/>
              </w:rPr>
              <w:t>Mean (SD)</w:t>
            </w:r>
          </w:p>
        </w:tc>
        <w:tc>
          <w:tcPr>
            <w:tcW w:type="dxa" w:w="1128"/>
          </w:tcPr>
          <w:p>
            <w:r>
              <w:rPr>
                <w:rFonts w:ascii="Times New Roman" w:hAnsi="Times New Roman"/>
                <w:b/>
                <w:sz w:val="20"/>
              </w:rPr>
              <w:t>Median (IQR)</w:t>
            </w:r>
          </w:p>
        </w:tc>
        <w:tc>
          <w:tcPr>
            <w:tcW w:type="dxa" w:w="1128"/>
          </w:tcPr>
          <w:p>
            <w:r>
              <w:rPr>
                <w:rFonts w:ascii="Times New Roman" w:hAnsi="Times New Roman"/>
                <w:b/>
                <w:sz w:val="20"/>
              </w:rPr>
              <w:t>Min</w:t>
            </w:r>
          </w:p>
        </w:tc>
        <w:tc>
          <w:tcPr>
            <w:tcW w:type="dxa" w:w="1128"/>
          </w:tcPr>
          <w:p>
            <w:r>
              <w:rPr>
                <w:rFonts w:ascii="Times New Roman" w:hAnsi="Times New Roman"/>
                <w:b/>
                <w:sz w:val="20"/>
              </w:rPr>
              <w:t>Max</w:t>
            </w:r>
          </w:p>
        </w:tc>
        <w:tc>
          <w:tcPr>
            <w:tcW w:type="dxa" w:w="1128"/>
          </w:tcPr>
          <w:p>
            <w:r>
              <w:rPr>
                <w:rFonts w:ascii="Times New Roman" w:hAnsi="Times New Roman"/>
                <w:b/>
                <w:sz w:val="20"/>
              </w:rPr>
              <w:t>CV (%)</w:t>
            </w:r>
          </w:p>
        </w:tc>
        <w:tc>
          <w:tcPr>
            <w:tcW w:type="dxa" w:w="1128"/>
          </w:tcPr>
          <w:p>
            <w:r>
              <w:rPr>
                <w:rFonts w:ascii="Times New Roman" w:hAnsi="Times New Roman"/>
                <w:b/>
                <w:sz w:val="20"/>
              </w:rPr>
              <w:t>Range ratio</w:t>
            </w:r>
          </w:p>
        </w:tc>
      </w:tr>
      <w:tr>
        <w:tc>
          <w:tcPr>
            <w:tcW w:type="dxa" w:w="1128"/>
          </w:tcPr>
          <w:p>
            <w:r>
              <w:rPr>
                <w:rFonts w:ascii="Times New Roman" w:hAnsi="Times New Roman"/>
                <w:sz w:val="20"/>
              </w:rPr>
              <w:t>L008</w:t>
            </w:r>
          </w:p>
        </w:tc>
        <w:tc>
          <w:tcPr>
            <w:tcW w:type="dxa" w:w="1128"/>
          </w:tcPr>
          <w:p>
            <w:r>
              <w:rPr>
                <w:rFonts w:ascii="Times New Roman" w:hAnsi="Times New Roman"/>
                <w:sz w:val="20"/>
              </w:rPr>
              <w:t>334</w:t>
            </w:r>
          </w:p>
        </w:tc>
        <w:tc>
          <w:tcPr>
            <w:tcW w:type="dxa" w:w="1128"/>
          </w:tcPr>
          <w:p>
            <w:r>
              <w:rPr>
                <w:rFonts w:ascii="Times New Roman" w:hAnsi="Times New Roman"/>
                <w:sz w:val="20"/>
              </w:rPr>
              <w:t>85.7 (45.9)</w:t>
            </w:r>
          </w:p>
        </w:tc>
        <w:tc>
          <w:tcPr>
            <w:tcW w:type="dxa" w:w="1128"/>
          </w:tcPr>
          <w:p>
            <w:r>
              <w:rPr>
                <w:rFonts w:ascii="Times New Roman" w:hAnsi="Times New Roman"/>
                <w:sz w:val="20"/>
              </w:rPr>
              <w:t>76.5 (53.0-110.5)</w:t>
            </w:r>
          </w:p>
        </w:tc>
        <w:tc>
          <w:tcPr>
            <w:tcW w:type="dxa" w:w="1128"/>
          </w:tcPr>
          <w:p>
            <w:r>
              <w:rPr>
                <w:rFonts w:ascii="Times New Roman" w:hAnsi="Times New Roman"/>
                <w:sz w:val="20"/>
              </w:rPr>
              <w:t>2.3</w:t>
            </w:r>
          </w:p>
        </w:tc>
        <w:tc>
          <w:tcPr>
            <w:tcW w:type="dxa" w:w="1128"/>
          </w:tcPr>
          <w:p>
            <w:r>
              <w:rPr>
                <w:rFonts w:ascii="Times New Roman" w:hAnsi="Times New Roman"/>
                <w:sz w:val="20"/>
              </w:rPr>
              <w:t>435.7</w:t>
            </w:r>
          </w:p>
        </w:tc>
        <w:tc>
          <w:tcPr>
            <w:tcW w:type="dxa" w:w="1128"/>
          </w:tcPr>
          <w:p>
            <w:r>
              <w:rPr>
                <w:rFonts w:ascii="Times New Roman" w:hAnsi="Times New Roman"/>
                <w:sz w:val="20"/>
              </w:rPr>
              <w:t>53.6</w:t>
            </w:r>
          </w:p>
        </w:tc>
        <w:tc>
          <w:tcPr>
            <w:tcW w:type="dxa" w:w="1128"/>
          </w:tcPr>
          <w:p>
            <w:r>
              <w:rPr>
                <w:rFonts w:ascii="Times New Roman" w:hAnsi="Times New Roman"/>
                <w:sz w:val="20"/>
              </w:rPr>
              <w:t>189</w:t>
            </w:r>
          </w:p>
        </w:tc>
      </w:tr>
      <w:tr>
        <w:tc>
          <w:tcPr>
            <w:tcW w:type="dxa" w:w="1128"/>
          </w:tcPr>
          <w:p>
            <w:r>
              <w:rPr>
                <w:rFonts w:ascii="Times New Roman" w:hAnsi="Times New Roman"/>
                <w:sz w:val="20"/>
              </w:rPr>
              <w:t>L002</w:t>
            </w:r>
          </w:p>
        </w:tc>
        <w:tc>
          <w:tcPr>
            <w:tcW w:type="dxa" w:w="1128"/>
          </w:tcPr>
          <w:p>
            <w:r>
              <w:rPr>
                <w:rFonts w:ascii="Times New Roman" w:hAnsi="Times New Roman"/>
                <w:sz w:val="20"/>
              </w:rPr>
              <w:t>307</w:t>
            </w:r>
          </w:p>
        </w:tc>
        <w:tc>
          <w:tcPr>
            <w:tcW w:type="dxa" w:w="1128"/>
          </w:tcPr>
          <w:p>
            <w:r>
              <w:rPr>
                <w:rFonts w:ascii="Times New Roman" w:hAnsi="Times New Roman"/>
                <w:sz w:val="20"/>
              </w:rPr>
              <w:t>61.4 (53.4)</w:t>
            </w:r>
          </w:p>
        </w:tc>
        <w:tc>
          <w:tcPr>
            <w:tcW w:type="dxa" w:w="1128"/>
          </w:tcPr>
          <w:p>
            <w:r>
              <w:rPr>
                <w:rFonts w:ascii="Times New Roman" w:hAnsi="Times New Roman"/>
                <w:sz w:val="20"/>
              </w:rPr>
              <w:t>47.7 (24.5-83.4)</w:t>
            </w:r>
          </w:p>
        </w:tc>
        <w:tc>
          <w:tcPr>
            <w:tcW w:type="dxa" w:w="1128"/>
          </w:tcPr>
          <w:p>
            <w:r>
              <w:rPr>
                <w:rFonts w:ascii="Times New Roman" w:hAnsi="Times New Roman"/>
                <w:sz w:val="20"/>
              </w:rPr>
              <w:t>0</w:t>
            </w:r>
          </w:p>
        </w:tc>
        <w:tc>
          <w:tcPr>
            <w:tcW w:type="dxa" w:w="1128"/>
          </w:tcPr>
          <w:p>
            <w:r>
              <w:rPr>
                <w:rFonts w:ascii="Times New Roman" w:hAnsi="Times New Roman"/>
                <w:sz w:val="20"/>
              </w:rPr>
              <w:t>519.1</w:t>
            </w:r>
          </w:p>
        </w:tc>
        <w:tc>
          <w:tcPr>
            <w:tcW w:type="dxa" w:w="1128"/>
          </w:tcPr>
          <w:p>
            <w:r>
              <w:rPr>
                <w:rFonts w:ascii="Times New Roman" w:hAnsi="Times New Roman"/>
                <w:sz w:val="20"/>
              </w:rPr>
              <w:t>87.0</w:t>
            </w:r>
          </w:p>
        </w:tc>
        <w:tc>
          <w:tcPr>
            <w:tcW w:type="dxa" w:w="1128"/>
          </w:tcPr>
          <w:p>
            <w:r>
              <w:rPr>
                <w:rFonts w:ascii="Times New Roman" w:hAnsi="Times New Roman"/>
                <w:sz w:val="20"/>
              </w:rPr>
              <w:t>-</w:t>
            </w:r>
          </w:p>
        </w:tc>
      </w:tr>
      <w:tr>
        <w:tc>
          <w:tcPr>
            <w:tcW w:type="dxa" w:w="1128"/>
          </w:tcPr>
          <w:p>
            <w:r>
              <w:rPr>
                <w:rFonts w:ascii="Times New Roman" w:hAnsi="Times New Roman"/>
                <w:sz w:val="20"/>
              </w:rPr>
              <w:t>L003</w:t>
            </w:r>
          </w:p>
        </w:tc>
        <w:tc>
          <w:tcPr>
            <w:tcW w:type="dxa" w:w="1128"/>
          </w:tcPr>
          <w:p>
            <w:r>
              <w:rPr>
                <w:rFonts w:ascii="Times New Roman" w:hAnsi="Times New Roman"/>
                <w:sz w:val="20"/>
              </w:rPr>
              <w:t>307</w:t>
            </w:r>
          </w:p>
        </w:tc>
        <w:tc>
          <w:tcPr>
            <w:tcW w:type="dxa" w:w="1128"/>
          </w:tcPr>
          <w:p>
            <w:r>
              <w:rPr>
                <w:rFonts w:ascii="Times New Roman" w:hAnsi="Times New Roman"/>
                <w:sz w:val="20"/>
              </w:rPr>
              <w:t>61.4 (39.8)</w:t>
            </w:r>
          </w:p>
        </w:tc>
        <w:tc>
          <w:tcPr>
            <w:tcW w:type="dxa" w:w="1128"/>
          </w:tcPr>
          <w:p>
            <w:r>
              <w:rPr>
                <w:rFonts w:ascii="Times New Roman" w:hAnsi="Times New Roman"/>
                <w:sz w:val="20"/>
              </w:rPr>
              <w:t>53.5 (32.0-82.0)</w:t>
            </w:r>
          </w:p>
        </w:tc>
        <w:tc>
          <w:tcPr>
            <w:tcW w:type="dxa" w:w="1128"/>
          </w:tcPr>
          <w:p>
            <w:r>
              <w:rPr>
                <w:rFonts w:ascii="Times New Roman" w:hAnsi="Times New Roman"/>
                <w:sz w:val="20"/>
              </w:rPr>
              <w:t>0</w:t>
            </w:r>
          </w:p>
        </w:tc>
        <w:tc>
          <w:tcPr>
            <w:tcW w:type="dxa" w:w="1128"/>
          </w:tcPr>
          <w:p>
            <w:r>
              <w:rPr>
                <w:rFonts w:ascii="Times New Roman" w:hAnsi="Times New Roman"/>
                <w:sz w:val="20"/>
              </w:rPr>
              <w:t>224.7</w:t>
            </w:r>
          </w:p>
        </w:tc>
        <w:tc>
          <w:tcPr>
            <w:tcW w:type="dxa" w:w="1128"/>
          </w:tcPr>
          <w:p>
            <w:r>
              <w:rPr>
                <w:rFonts w:ascii="Times New Roman" w:hAnsi="Times New Roman"/>
                <w:sz w:val="20"/>
              </w:rPr>
              <w:t>64.9</w:t>
            </w:r>
          </w:p>
        </w:tc>
        <w:tc>
          <w:tcPr>
            <w:tcW w:type="dxa" w:w="1128"/>
          </w:tcPr>
          <w:p>
            <w:r>
              <w:rPr>
                <w:rFonts w:ascii="Times New Roman" w:hAnsi="Times New Roman"/>
                <w:sz w:val="20"/>
              </w:rPr>
              <w:t>-</w:t>
            </w:r>
          </w:p>
        </w:tc>
      </w:tr>
      <w:tr>
        <w:tc>
          <w:tcPr>
            <w:tcW w:type="dxa" w:w="1128"/>
          </w:tcPr>
          <w:p>
            <w:r>
              <w:rPr>
                <w:rFonts w:ascii="Times New Roman" w:hAnsi="Times New Roman"/>
                <w:sz w:val="20"/>
              </w:rPr>
              <w:t>L004</w:t>
            </w:r>
          </w:p>
        </w:tc>
        <w:tc>
          <w:tcPr>
            <w:tcW w:type="dxa" w:w="1128"/>
          </w:tcPr>
          <w:p>
            <w:r>
              <w:rPr>
                <w:rFonts w:ascii="Times New Roman" w:hAnsi="Times New Roman"/>
                <w:sz w:val="20"/>
              </w:rPr>
              <w:t>320</w:t>
            </w:r>
          </w:p>
        </w:tc>
        <w:tc>
          <w:tcPr>
            <w:tcW w:type="dxa" w:w="1128"/>
          </w:tcPr>
          <w:p>
            <w:r>
              <w:rPr>
                <w:rFonts w:ascii="Times New Roman" w:hAnsi="Times New Roman"/>
                <w:sz w:val="20"/>
              </w:rPr>
              <w:t>82.5 (46.8)</w:t>
            </w:r>
          </w:p>
        </w:tc>
        <w:tc>
          <w:tcPr>
            <w:tcW w:type="dxa" w:w="1128"/>
          </w:tcPr>
          <w:p>
            <w:r>
              <w:rPr>
                <w:rFonts w:ascii="Times New Roman" w:hAnsi="Times New Roman"/>
                <w:sz w:val="20"/>
              </w:rPr>
              <w:t>76.5 (49.5-108.5)</w:t>
            </w:r>
          </w:p>
        </w:tc>
        <w:tc>
          <w:tcPr>
            <w:tcW w:type="dxa" w:w="1128"/>
          </w:tcPr>
          <w:p>
            <w:r>
              <w:rPr>
                <w:rFonts w:ascii="Times New Roman" w:hAnsi="Times New Roman"/>
                <w:sz w:val="20"/>
              </w:rPr>
              <w:t>0</w:t>
            </w:r>
          </w:p>
        </w:tc>
        <w:tc>
          <w:tcPr>
            <w:tcW w:type="dxa" w:w="1128"/>
          </w:tcPr>
          <w:p>
            <w:r>
              <w:rPr>
                <w:rFonts w:ascii="Times New Roman" w:hAnsi="Times New Roman"/>
                <w:sz w:val="20"/>
              </w:rPr>
              <w:t>318.0</w:t>
            </w:r>
          </w:p>
        </w:tc>
        <w:tc>
          <w:tcPr>
            <w:tcW w:type="dxa" w:w="1128"/>
          </w:tcPr>
          <w:p>
            <w:r>
              <w:rPr>
                <w:rFonts w:ascii="Times New Roman" w:hAnsi="Times New Roman"/>
                <w:sz w:val="20"/>
              </w:rPr>
              <w:t>56.8</w:t>
            </w:r>
          </w:p>
        </w:tc>
        <w:tc>
          <w:tcPr>
            <w:tcW w:type="dxa" w:w="1128"/>
          </w:tcPr>
          <w:p>
            <w:r>
              <w:rPr>
                <w:rFonts w:ascii="Times New Roman" w:hAnsi="Times New Roman"/>
                <w:sz w:val="20"/>
              </w:rPr>
              <w:t>-</w:t>
            </w:r>
          </w:p>
        </w:tc>
      </w:tr>
      <w:tr>
        <w:tc>
          <w:tcPr>
            <w:tcW w:type="dxa" w:w="1128"/>
          </w:tcPr>
          <w:p>
            <w:r>
              <w:rPr>
                <w:rFonts w:ascii="Times New Roman" w:hAnsi="Times New Roman"/>
                <w:sz w:val="20"/>
              </w:rPr>
              <w:t>L009</w:t>
            </w:r>
          </w:p>
        </w:tc>
        <w:tc>
          <w:tcPr>
            <w:tcW w:type="dxa" w:w="1128"/>
          </w:tcPr>
          <w:p>
            <w:r>
              <w:rPr>
                <w:rFonts w:ascii="Times New Roman" w:hAnsi="Times New Roman"/>
                <w:sz w:val="20"/>
              </w:rPr>
              <w:t>330</w:t>
            </w:r>
          </w:p>
        </w:tc>
        <w:tc>
          <w:tcPr>
            <w:tcW w:type="dxa" w:w="1128"/>
          </w:tcPr>
          <w:p>
            <w:r>
              <w:rPr>
                <w:rFonts w:ascii="Times New Roman" w:hAnsi="Times New Roman"/>
                <w:sz w:val="20"/>
              </w:rPr>
              <w:t>78.3 (43.0)</w:t>
            </w:r>
          </w:p>
        </w:tc>
        <w:tc>
          <w:tcPr>
            <w:tcW w:type="dxa" w:w="1128"/>
          </w:tcPr>
          <w:p>
            <w:r>
              <w:rPr>
                <w:rFonts w:ascii="Times New Roman" w:hAnsi="Times New Roman"/>
                <w:sz w:val="20"/>
              </w:rPr>
              <w:t>71.0 (47.5-101.5)</w:t>
            </w:r>
          </w:p>
        </w:tc>
        <w:tc>
          <w:tcPr>
            <w:tcW w:type="dxa" w:w="1128"/>
          </w:tcPr>
          <w:p>
            <w:r>
              <w:rPr>
                <w:rFonts w:ascii="Times New Roman" w:hAnsi="Times New Roman"/>
                <w:sz w:val="20"/>
              </w:rPr>
              <w:t>0</w:t>
            </w:r>
          </w:p>
        </w:tc>
        <w:tc>
          <w:tcPr>
            <w:tcW w:type="dxa" w:w="1128"/>
          </w:tcPr>
          <w:p>
            <w:r>
              <w:rPr>
                <w:rFonts w:ascii="Times New Roman" w:hAnsi="Times New Roman"/>
                <w:sz w:val="20"/>
              </w:rPr>
              <w:t>230.0</w:t>
            </w:r>
          </w:p>
        </w:tc>
        <w:tc>
          <w:tcPr>
            <w:tcW w:type="dxa" w:w="1128"/>
          </w:tcPr>
          <w:p>
            <w:r>
              <w:rPr>
                <w:rFonts w:ascii="Times New Roman" w:hAnsi="Times New Roman"/>
                <w:sz w:val="20"/>
              </w:rPr>
              <w:t>55.0</w:t>
            </w:r>
          </w:p>
        </w:tc>
        <w:tc>
          <w:tcPr>
            <w:tcW w:type="dxa" w:w="1128"/>
          </w:tcPr>
          <w:p>
            <w:r>
              <w:rPr>
                <w:rFonts w:ascii="Times New Roman" w:hAnsi="Times New Roman"/>
                <w:sz w:val="20"/>
              </w:rPr>
              <w:t>-</w:t>
            </w:r>
          </w:p>
        </w:tc>
      </w:tr>
      <w:tr>
        <w:tc>
          <w:tcPr>
            <w:tcW w:type="dxa" w:w="1128"/>
          </w:tcPr>
          <w:p>
            <w:r>
              <w:rPr>
                <w:rFonts w:ascii="Times New Roman" w:hAnsi="Times New Roman"/>
                <w:sz w:val="20"/>
              </w:rPr>
              <w:t>L100</w:t>
            </w:r>
          </w:p>
        </w:tc>
        <w:tc>
          <w:tcPr>
            <w:tcW w:type="dxa" w:w="1128"/>
          </w:tcPr>
          <w:p>
            <w:r>
              <w:rPr>
                <w:rFonts w:ascii="Times New Roman" w:hAnsi="Times New Roman"/>
                <w:sz w:val="20"/>
              </w:rPr>
              <w:t>324</w:t>
            </w:r>
          </w:p>
        </w:tc>
        <w:tc>
          <w:tcPr>
            <w:tcW w:type="dxa" w:w="1128"/>
          </w:tcPr>
          <w:p>
            <w:r>
              <w:rPr>
                <w:rFonts w:ascii="Times New Roman" w:hAnsi="Times New Roman"/>
                <w:sz w:val="20"/>
              </w:rPr>
              <w:t>60.5 (35.7)</w:t>
            </w:r>
          </w:p>
        </w:tc>
        <w:tc>
          <w:tcPr>
            <w:tcW w:type="dxa" w:w="1128"/>
          </w:tcPr>
          <w:p>
            <w:r>
              <w:rPr>
                <w:rFonts w:ascii="Times New Roman" w:hAnsi="Times New Roman"/>
                <w:sz w:val="20"/>
              </w:rPr>
              <w:t>53.5 (35.5-78.0)</w:t>
            </w:r>
          </w:p>
        </w:tc>
        <w:tc>
          <w:tcPr>
            <w:tcW w:type="dxa" w:w="1128"/>
          </w:tcPr>
          <w:p>
            <w:r>
              <w:rPr>
                <w:rFonts w:ascii="Times New Roman" w:hAnsi="Times New Roman"/>
                <w:sz w:val="20"/>
              </w:rPr>
              <w:t>0</w:t>
            </w:r>
          </w:p>
        </w:tc>
        <w:tc>
          <w:tcPr>
            <w:tcW w:type="dxa" w:w="1128"/>
          </w:tcPr>
          <w:p>
            <w:r>
              <w:rPr>
                <w:rFonts w:ascii="Times New Roman" w:hAnsi="Times New Roman"/>
                <w:sz w:val="20"/>
              </w:rPr>
              <w:t>247.0</w:t>
            </w:r>
          </w:p>
        </w:tc>
        <w:tc>
          <w:tcPr>
            <w:tcW w:type="dxa" w:w="1128"/>
          </w:tcPr>
          <w:p>
            <w:r>
              <w:rPr>
                <w:rFonts w:ascii="Times New Roman" w:hAnsi="Times New Roman"/>
                <w:sz w:val="20"/>
              </w:rPr>
              <w:t>59.0</w:t>
            </w:r>
          </w:p>
        </w:tc>
        <w:tc>
          <w:tcPr>
            <w:tcW w:type="dxa" w:w="1128"/>
          </w:tcPr>
          <w:p>
            <w:r>
              <w:rPr>
                <w:rFonts w:ascii="Times New Roman" w:hAnsi="Times New Roman"/>
                <w:sz w:val="20"/>
              </w:rPr>
              <w:t>-</w:t>
            </w:r>
          </w:p>
        </w:tc>
      </w:tr>
    </w:tbl>
    <w:p>
      <w:pPr>
        <w:spacing w:after="0"/>
      </w:pPr>
    </w:p>
    <w:p>
      <w:r>
        <w:rPr>
          <w:rFonts w:ascii="Times New Roman" w:hAnsi="Times New Roman"/>
          <w:i/>
          <w:sz w:val="24"/>
        </w:rPr>
        <w:t>CV, coefficient of variation; IQR, interquartile range; SD, standard deviation. Range ratio (max / min) is reported only where the minimum is non-zero. Areas with low claim volume are masked by the data provider and appear as missing values; the n column reflects the number of secondary medical areas with non-missing values for each code.</w:t>
      </w:r>
    </w:p>
    <w:p>
      <w:r>
        <w:br w:type="page"/>
      </w:r>
    </w:p>
    <w:p>
      <w:r>
        <w:rPr>
          <w:rFonts w:ascii="Times New Roman" w:hAnsi="Times New Roman"/>
          <w:b/>
          <w:sz w:val="24"/>
        </w:rPr>
        <w:t>Table 3. Multilevel linear mixed model results: standardised claim ratio as outcome, prefecture as random intercept.</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Pr>
                <w:rFonts w:ascii="Times New Roman" w:hAnsi="Times New Roman"/>
                <w:b/>
                <w:sz w:val="20"/>
              </w:rPr>
              <w:t>Code</w:t>
            </w:r>
          </w:p>
        </w:tc>
        <w:tc>
          <w:tcPr>
            <w:tcW w:type="dxa" w:w="1805"/>
          </w:tcPr>
          <w:p>
            <w:r>
              <w:rPr>
                <w:rFonts w:ascii="Times New Roman" w:hAnsi="Times New Roman"/>
                <w:b/>
                <w:sz w:val="20"/>
              </w:rPr>
              <w:t>Null model ICC</w:t>
            </w:r>
          </w:p>
        </w:tc>
        <w:tc>
          <w:tcPr>
            <w:tcW w:type="dxa" w:w="1805"/>
          </w:tcPr>
          <w:p>
            <w:r>
              <w:rPr>
                <w:rFonts w:ascii="Times New Roman" w:hAnsi="Times New Roman"/>
                <w:b/>
                <w:sz w:val="20"/>
              </w:rPr>
              <w:t>β university (95% CI)</w:t>
            </w:r>
          </w:p>
        </w:tc>
        <w:tc>
          <w:tcPr>
            <w:tcW w:type="dxa" w:w="1805"/>
          </w:tcPr>
          <w:p>
            <w:r>
              <w:rPr>
                <w:rFonts w:ascii="Times New Roman" w:hAnsi="Times New Roman"/>
                <w:b/>
                <w:sz w:val="20"/>
              </w:rPr>
              <w:t>P value</w:t>
            </w:r>
          </w:p>
        </w:tc>
        <w:tc>
          <w:tcPr>
            <w:tcW w:type="dxa" w:w="1805"/>
          </w:tcPr>
          <w:p>
            <w:r>
              <w:rPr>
                <w:rFonts w:ascii="Times New Roman" w:hAnsi="Times New Roman"/>
                <w:b/>
                <w:sz w:val="20"/>
              </w:rPr>
              <w:t>Marginal R²</w:t>
            </w:r>
          </w:p>
        </w:tc>
      </w:tr>
      <w:tr>
        <w:tc>
          <w:tcPr>
            <w:tcW w:type="dxa" w:w="1805"/>
          </w:tcPr>
          <w:p>
            <w:r>
              <w:rPr>
                <w:rFonts w:ascii="Times New Roman" w:hAnsi="Times New Roman"/>
                <w:sz w:val="20"/>
              </w:rPr>
              <w:t>L008</w:t>
            </w:r>
          </w:p>
        </w:tc>
        <w:tc>
          <w:tcPr>
            <w:tcW w:type="dxa" w:w="1805"/>
          </w:tcPr>
          <w:p>
            <w:r>
              <w:rPr>
                <w:rFonts w:ascii="Times New Roman" w:hAnsi="Times New Roman"/>
                <w:sz w:val="20"/>
              </w:rPr>
              <w:t>0.058</w:t>
            </w:r>
          </w:p>
        </w:tc>
        <w:tc>
          <w:tcPr>
            <w:tcW w:type="dxa" w:w="1805"/>
          </w:tcPr>
          <w:p>
            <w:r>
              <w:rPr>
                <w:rFonts w:ascii="Times New Roman" w:hAnsi="Times New Roman"/>
                <w:sz w:val="20"/>
              </w:rPr>
              <w:t>+64.1 (54.8 to 73.4)</w:t>
            </w:r>
          </w:p>
        </w:tc>
        <w:tc>
          <w:tcPr>
            <w:tcW w:type="dxa" w:w="1805"/>
          </w:tcPr>
          <w:p>
            <w:r>
              <w:rPr>
                <w:rFonts w:ascii="Times New Roman" w:hAnsi="Times New Roman"/>
                <w:sz w:val="20"/>
              </w:rPr>
              <w:t>&lt;0.001</w:t>
            </w:r>
          </w:p>
        </w:tc>
        <w:tc>
          <w:tcPr>
            <w:tcW w:type="dxa" w:w="1805"/>
          </w:tcPr>
          <w:p>
            <w:r>
              <w:rPr>
                <w:rFonts w:ascii="Times New Roman" w:hAnsi="Times New Roman"/>
                <w:sz w:val="20"/>
              </w:rPr>
              <w:t>0.358</w:t>
            </w:r>
          </w:p>
        </w:tc>
      </w:tr>
      <w:tr>
        <w:tc>
          <w:tcPr>
            <w:tcW w:type="dxa" w:w="1805"/>
          </w:tcPr>
          <w:p>
            <w:r>
              <w:rPr>
                <w:rFonts w:ascii="Times New Roman" w:hAnsi="Times New Roman"/>
                <w:sz w:val="20"/>
              </w:rPr>
              <w:t>L002</w:t>
            </w:r>
          </w:p>
        </w:tc>
        <w:tc>
          <w:tcPr>
            <w:tcW w:type="dxa" w:w="1805"/>
          </w:tcPr>
          <w:p>
            <w:r>
              <w:rPr>
                <w:rFonts w:ascii="Times New Roman" w:hAnsi="Times New Roman"/>
                <w:sz w:val="20"/>
              </w:rPr>
              <w:t>0.082</w:t>
            </w:r>
          </w:p>
        </w:tc>
        <w:tc>
          <w:tcPr>
            <w:tcW w:type="dxa" w:w="1805"/>
          </w:tcPr>
          <w:p>
            <w:r>
              <w:rPr>
                <w:rFonts w:ascii="Times New Roman" w:hAnsi="Times New Roman"/>
                <w:sz w:val="20"/>
              </w:rPr>
              <w:t>+49.0 (38.4 to 59.6)</w:t>
            </w:r>
          </w:p>
        </w:tc>
        <w:tc>
          <w:tcPr>
            <w:tcW w:type="dxa" w:w="1805"/>
          </w:tcPr>
          <w:p>
            <w:r>
              <w:rPr>
                <w:rFonts w:ascii="Times New Roman" w:hAnsi="Times New Roman"/>
                <w:sz w:val="20"/>
              </w:rPr>
              <w:t>&lt;0.001</w:t>
            </w:r>
          </w:p>
        </w:tc>
        <w:tc>
          <w:tcPr>
            <w:tcW w:type="dxa" w:w="1805"/>
          </w:tcPr>
          <w:p>
            <w:r>
              <w:rPr>
                <w:rFonts w:ascii="Times New Roman" w:hAnsi="Times New Roman"/>
                <w:sz w:val="20"/>
              </w:rPr>
              <w:t>0.205</w:t>
            </w:r>
          </w:p>
        </w:tc>
      </w:tr>
      <w:tr>
        <w:tc>
          <w:tcPr>
            <w:tcW w:type="dxa" w:w="1805"/>
          </w:tcPr>
          <w:p>
            <w:r>
              <w:rPr>
                <w:rFonts w:ascii="Times New Roman" w:hAnsi="Times New Roman"/>
                <w:sz w:val="20"/>
              </w:rPr>
              <w:t>L003</w:t>
            </w:r>
          </w:p>
        </w:tc>
        <w:tc>
          <w:tcPr>
            <w:tcW w:type="dxa" w:w="1805"/>
          </w:tcPr>
          <w:p>
            <w:r>
              <w:rPr>
                <w:rFonts w:ascii="Times New Roman" w:hAnsi="Times New Roman"/>
                <w:sz w:val="20"/>
              </w:rPr>
              <w:t>0.071</w:t>
            </w:r>
          </w:p>
        </w:tc>
        <w:tc>
          <w:tcPr>
            <w:tcW w:type="dxa" w:w="1805"/>
          </w:tcPr>
          <w:p>
            <w:r>
              <w:rPr>
                <w:rFonts w:ascii="Times New Roman" w:hAnsi="Times New Roman"/>
                <w:sz w:val="20"/>
              </w:rPr>
              <w:t>+55.8 (45.2 to 66.4)</w:t>
            </w:r>
          </w:p>
        </w:tc>
        <w:tc>
          <w:tcPr>
            <w:tcW w:type="dxa" w:w="1805"/>
          </w:tcPr>
          <w:p>
            <w:r>
              <w:rPr>
                <w:rFonts w:ascii="Times New Roman" w:hAnsi="Times New Roman"/>
                <w:sz w:val="20"/>
              </w:rPr>
              <w:t>&lt;0.001</w:t>
            </w:r>
          </w:p>
        </w:tc>
        <w:tc>
          <w:tcPr>
            <w:tcW w:type="dxa" w:w="1805"/>
          </w:tcPr>
          <w:p>
            <w:r>
              <w:rPr>
                <w:rFonts w:ascii="Times New Roman" w:hAnsi="Times New Roman"/>
                <w:sz w:val="20"/>
              </w:rPr>
              <w:t>0.245</w:t>
            </w:r>
          </w:p>
        </w:tc>
      </w:tr>
      <w:tr>
        <w:tc>
          <w:tcPr>
            <w:tcW w:type="dxa" w:w="1805"/>
          </w:tcPr>
          <w:p>
            <w:r>
              <w:rPr>
                <w:rFonts w:ascii="Times New Roman" w:hAnsi="Times New Roman"/>
                <w:sz w:val="20"/>
              </w:rPr>
              <w:t>L004</w:t>
            </w:r>
          </w:p>
        </w:tc>
        <w:tc>
          <w:tcPr>
            <w:tcW w:type="dxa" w:w="1805"/>
          </w:tcPr>
          <w:p>
            <w:r>
              <w:rPr>
                <w:rFonts w:ascii="Times New Roman" w:hAnsi="Times New Roman"/>
                <w:sz w:val="20"/>
              </w:rPr>
              <w:t>0.343</w:t>
            </w:r>
          </w:p>
        </w:tc>
        <w:tc>
          <w:tcPr>
            <w:tcW w:type="dxa" w:w="1805"/>
          </w:tcPr>
          <w:p>
            <w:r>
              <w:rPr>
                <w:rFonts w:ascii="Times New Roman" w:hAnsi="Times New Roman"/>
                <w:sz w:val="20"/>
              </w:rPr>
              <w:t>+23.0 (12.4 to 33.6)</w:t>
            </w:r>
          </w:p>
        </w:tc>
        <w:tc>
          <w:tcPr>
            <w:tcW w:type="dxa" w:w="1805"/>
          </w:tcPr>
          <w:p>
            <w:r>
              <w:rPr>
                <w:rFonts w:ascii="Times New Roman" w:hAnsi="Times New Roman"/>
                <w:sz w:val="20"/>
              </w:rPr>
              <w:t>&lt;0.001</w:t>
            </w:r>
          </w:p>
        </w:tc>
        <w:tc>
          <w:tcPr>
            <w:tcW w:type="dxa" w:w="1805"/>
          </w:tcPr>
          <w:p>
            <w:r>
              <w:rPr>
                <w:rFonts w:ascii="Times New Roman" w:hAnsi="Times New Roman"/>
                <w:sz w:val="20"/>
              </w:rPr>
              <w:t>0.045</w:t>
            </w:r>
          </w:p>
        </w:tc>
      </w:tr>
      <w:tr>
        <w:tc>
          <w:tcPr>
            <w:tcW w:type="dxa" w:w="1805"/>
          </w:tcPr>
          <w:p>
            <w:r>
              <w:rPr>
                <w:rFonts w:ascii="Times New Roman" w:hAnsi="Times New Roman"/>
                <w:sz w:val="20"/>
              </w:rPr>
              <w:t>L009</w:t>
            </w:r>
          </w:p>
        </w:tc>
        <w:tc>
          <w:tcPr>
            <w:tcW w:type="dxa" w:w="1805"/>
          </w:tcPr>
          <w:p>
            <w:r>
              <w:rPr>
                <w:rFonts w:ascii="Times New Roman" w:hAnsi="Times New Roman"/>
                <w:sz w:val="20"/>
              </w:rPr>
              <w:t>0.205</w:t>
            </w:r>
          </w:p>
        </w:tc>
        <w:tc>
          <w:tcPr>
            <w:tcW w:type="dxa" w:w="1805"/>
          </w:tcPr>
          <w:p>
            <w:r>
              <w:rPr>
                <w:rFonts w:ascii="Times New Roman" w:hAnsi="Times New Roman"/>
                <w:sz w:val="20"/>
              </w:rPr>
              <w:t>+47.6 (36.4 to 58.8)</w:t>
            </w:r>
          </w:p>
        </w:tc>
        <w:tc>
          <w:tcPr>
            <w:tcW w:type="dxa" w:w="1805"/>
          </w:tcPr>
          <w:p>
            <w:r>
              <w:rPr>
                <w:rFonts w:ascii="Times New Roman" w:hAnsi="Times New Roman"/>
                <w:sz w:val="20"/>
              </w:rPr>
              <w:t>&lt;0.001</w:t>
            </w:r>
          </w:p>
        </w:tc>
        <w:tc>
          <w:tcPr>
            <w:tcW w:type="dxa" w:w="1805"/>
          </w:tcPr>
          <w:p>
            <w:r>
              <w:rPr>
                <w:rFonts w:ascii="Times New Roman" w:hAnsi="Times New Roman"/>
                <w:sz w:val="20"/>
              </w:rPr>
              <w:t>0.180</w:t>
            </w:r>
          </w:p>
        </w:tc>
      </w:tr>
      <w:tr>
        <w:tc>
          <w:tcPr>
            <w:tcW w:type="dxa" w:w="1805"/>
          </w:tcPr>
          <w:p>
            <w:r>
              <w:rPr>
                <w:rFonts w:ascii="Times New Roman" w:hAnsi="Times New Roman"/>
                <w:sz w:val="20"/>
              </w:rPr>
              <w:t>L100</w:t>
            </w:r>
          </w:p>
        </w:tc>
        <w:tc>
          <w:tcPr>
            <w:tcW w:type="dxa" w:w="1805"/>
          </w:tcPr>
          <w:p>
            <w:r>
              <w:rPr>
                <w:rFonts w:ascii="Times New Roman" w:hAnsi="Times New Roman"/>
                <w:sz w:val="20"/>
              </w:rPr>
              <w:t>0.299</w:t>
            </w:r>
          </w:p>
        </w:tc>
        <w:tc>
          <w:tcPr>
            <w:tcW w:type="dxa" w:w="1805"/>
          </w:tcPr>
          <w:p>
            <w:r>
              <w:rPr>
                <w:rFonts w:ascii="Times New Roman" w:hAnsi="Times New Roman"/>
                <w:sz w:val="20"/>
              </w:rPr>
              <w:t>+18.4 (8.6 to 28.2)</w:t>
            </w:r>
          </w:p>
        </w:tc>
        <w:tc>
          <w:tcPr>
            <w:tcW w:type="dxa" w:w="1805"/>
          </w:tcPr>
          <w:p>
            <w:r>
              <w:rPr>
                <w:rFonts w:ascii="Times New Roman" w:hAnsi="Times New Roman"/>
                <w:sz w:val="20"/>
              </w:rPr>
              <w:t>&lt;0.001</w:t>
            </w:r>
          </w:p>
        </w:tc>
        <w:tc>
          <w:tcPr>
            <w:tcW w:type="dxa" w:w="1805"/>
          </w:tcPr>
          <w:p>
            <w:r>
              <w:rPr>
                <w:rFonts w:ascii="Times New Roman" w:hAnsi="Times New Roman"/>
                <w:sz w:val="20"/>
              </w:rPr>
              <w:t>0.038</w:t>
            </w:r>
          </w:p>
        </w:tc>
      </w:tr>
    </w:tbl>
    <w:p>
      <w:pPr>
        <w:spacing w:after="0"/>
      </w:pPr>
    </w:p>
    <w:p>
      <w:r>
        <w:rPr>
          <w:rFonts w:ascii="Times New Roman" w:hAnsi="Times New Roman"/>
          <w:i/>
          <w:sz w:val="24"/>
        </w:rPr>
        <w:t>β university, fixed effect coefficient for university hospital presence (binary 0/1); CI, confidence interval; ICC, intraclass correlation coefficient (proportion of variance attributable to prefecture level in the null random-intercept model); Marginal R², proportional reduction in total (prefecture + residual) variance from the null model after adding the university hospital fixed effect. Models were estimated by restricted maximum likelihood.</w:t>
      </w:r>
    </w:p>
    <w:p>
      <w:r>
        <w:br w:type="page"/>
      </w:r>
    </w:p>
    <w:p>
      <w:pPr>
        <w:spacing w:before="0" w:after="120"/>
      </w:pPr>
      <w:r>
        <w:rPr>
          <w:rFonts w:ascii="Times New Roman" w:hAnsi="Times New Roman"/>
          <w:b/>
          <w:sz w:val="26"/>
        </w:rPr>
        <w:t>FIGURE LEGENDS</w:t>
      </w:r>
    </w:p>
    <w:p>
      <w:r>
        <w:rPr>
          <w:rFonts w:ascii="Times New Roman" w:hAnsi="Times New Roman"/>
          <w:sz w:val="24"/>
        </w:rPr>
        <w:t>Figure 1. Geographic distribution of anaesthesia standardised claim ratios across 335 secondary medical areas of Japan, fiscal year 2022. (A) General anaesthesia (L008). (B) Spinal anaesthesia (L004). (C) Epidural anaesthesia as main anaesthetic (L002). (D) Continuous epidural infusion (L003). Choropleth maps shaded by quintile of the standardised claim ratio (national average = 100). Red circles mark secondary medical areas containing at least one university hospital. Areas masked by the data provider owing to low volume are shown in grey.</w:t>
      </w:r>
    </w:p>
    <w:p>
      <w:pPr>
        <w:spacing w:after="0"/>
      </w:pPr>
    </w:p>
    <w:p>
      <w:r>
        <w:rPr>
          <w:rFonts w:ascii="Times New Roman" w:hAnsi="Times New Roman"/>
          <w:sz w:val="24"/>
        </w:rPr>
        <w:t>Figure 2. University hospital presence and the standardised claim ratio for general anaesthesia. (A) Distribution of secondary medical areas containing at least one university hospital (n = 64 of 335). (B) Within-prefecture comparison of mean general anaesthesia ratios between university and non-university areas across all 47 prefectures. The university effect is positive in all 47 of 47 prefectures (mean within-prefecture difference +63.3 points, paired t = 13.28, P &lt; 0.001).</w:t>
      </w:r>
    </w:p>
    <w:p>
      <w:r>
        <w:br w:type="page"/>
      </w:r>
    </w:p>
    <w:p>
      <w:pPr>
        <w:jc w:val="center"/>
      </w:pPr>
      <w:r>
        <w:rPr>
          <w:rFonts w:ascii="Times New Roman" w:hAnsi="Times New Roman"/>
          <w:b/>
          <w:sz w:val="24"/>
        </w:rPr>
        <w:t>Figure 1.</w:t>
      </w:r>
    </w:p>
    <w:p>
      <w:pPr>
        <w:jc w:val="center"/>
      </w:pPr>
      <w:r>
        <w:drawing>
          <wp:inline xmlns:a="http://schemas.openxmlformats.org/drawingml/2006/main" xmlns:pic="http://schemas.openxmlformats.org/drawingml/2006/picture">
            <wp:extent cx="5943600" cy="7010725"/>
            <wp:docPr id="1" name="Picture 1"/>
            <wp:cNvGraphicFramePr>
              <a:graphicFrameLocks noChangeAspect="1"/>
            </wp:cNvGraphicFramePr>
            <a:graphic>
              <a:graphicData uri="http://schemas.openxmlformats.org/drawingml/2006/picture">
                <pic:pic>
                  <pic:nvPicPr>
                    <pic:cNvPr id="0" name="rapm_fig1_en.png"/>
                    <pic:cNvPicPr/>
                  </pic:nvPicPr>
                  <pic:blipFill>
                    <a:blip r:embed="rId9"/>
                    <a:stretch>
                      <a:fillRect/>
                    </a:stretch>
                  </pic:blipFill>
                  <pic:spPr>
                    <a:xfrm>
                      <a:off x="0" y="0"/>
                      <a:ext cx="5943600" cy="7010725"/>
                    </a:xfrm>
                    <a:prstGeom prst="rect"/>
                  </pic:spPr>
                </pic:pic>
              </a:graphicData>
            </a:graphic>
          </wp:inline>
        </w:drawing>
      </w:r>
    </w:p>
    <w:p>
      <w:r>
        <w:br w:type="page"/>
      </w:r>
    </w:p>
    <w:p>
      <w:pPr>
        <w:jc w:val="center"/>
      </w:pPr>
      <w:r>
        <w:rPr>
          <w:rFonts w:ascii="Times New Roman" w:hAnsi="Times New Roman"/>
          <w:b/>
          <w:sz w:val="24"/>
        </w:rPr>
        <w:t>Figure 2.</w:t>
      </w:r>
    </w:p>
    <w:p>
      <w:pPr>
        <w:jc w:val="center"/>
      </w:pPr>
      <w:r>
        <w:drawing>
          <wp:inline xmlns:a="http://schemas.openxmlformats.org/drawingml/2006/main" xmlns:pic="http://schemas.openxmlformats.org/drawingml/2006/picture">
            <wp:extent cx="5943600" cy="3122663"/>
            <wp:docPr id="2" name="Picture 2"/>
            <wp:cNvGraphicFramePr>
              <a:graphicFrameLocks noChangeAspect="1"/>
            </wp:cNvGraphicFramePr>
            <a:graphic>
              <a:graphicData uri="http://schemas.openxmlformats.org/drawingml/2006/picture">
                <pic:pic>
                  <pic:nvPicPr>
                    <pic:cNvPr id="0" name="rapm_fig2_en.png"/>
                    <pic:cNvPicPr/>
                  </pic:nvPicPr>
                  <pic:blipFill>
                    <a:blip r:embed="rId10"/>
                    <a:stretch>
                      <a:fillRect/>
                    </a:stretch>
                  </pic:blipFill>
                  <pic:spPr>
                    <a:xfrm>
                      <a:off x="0" y="0"/>
                      <a:ext cx="5943600" cy="3122663"/>
                    </a:xfrm>
                    <a:prstGeom prst="rect"/>
                  </pic:spPr>
                </pic:pic>
              </a:graphicData>
            </a:graphic>
          </wp:inline>
        </w:drawing>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