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60" w:lineRule="auto"/>
      </w:pPr>
    </w:p>
    <w:p>
      <w:pPr>
        <w:spacing w:before="360" w:after="120" w:line="360" w:lineRule="auto"/>
      </w:pPr>
      <w:r>
        <w:rPr>
          <w:rFonts w:ascii="Times New Roman" w:hAnsi="Times New Roman" w:eastAsia="MS Mincho"/>
          <w:b/>
          <w:i w:val="0"/>
          <w:sz w:val="32"/>
        </w:rPr>
        <w:t>What the Solow Residual Has Been Hiding: Tempo Drift and the Missing Intangible Share in National Capital Stocks</w:t>
      </w:r>
    </w:p>
    <w:p>
      <w:pPr>
        <w:spacing w:after="0" w:before="0" w:line="360" w:lineRule="auto"/>
      </w:pPr>
    </w:p>
    <w:p>
      <w:pPr>
        <w:spacing w:after="120" w:line="360" w:lineRule="auto"/>
        <w:ind w:firstLine="480"/>
      </w:pPr>
      <w:r>
        <w:rPr>
          <w:rFonts w:ascii="Times New Roman" w:hAnsi="Times New Roman" w:eastAsia="MS Mincho"/>
          <w:b/>
          <w:i w:val="0"/>
          <w:sz w:val="24"/>
        </w:rPr>
        <w:t>Onishi Tatsuki</w:t>
      </w:r>
    </w:p>
    <w:p>
      <w:pPr>
        <w:spacing w:after="0" w:before="0" w:line="360" w:lineRule="auto"/>
      </w:pPr>
    </w:p>
    <w:p>
      <w:pPr>
        <w:spacing w:after="120" w:line="360" w:lineRule="auto"/>
        <w:ind w:firstLine="480"/>
      </w:pPr>
      <w:r>
        <w:rPr>
          <w:rFonts w:ascii="Times New Roman" w:hAnsi="Times New Roman" w:eastAsia="MS Mincho"/>
          <w:b w:val="0"/>
          <w:i w:val="0"/>
          <w:sz w:val="24"/>
        </w:rPr>
        <w:t>Data Science AI Innovation Research Promotion Center, Shiga University</w:t>
      </w:r>
    </w:p>
    <w:p>
      <w:pPr>
        <w:spacing w:after="0" w:before="0" w:line="360" w:lineRule="auto"/>
      </w:pPr>
    </w:p>
    <w:p>
      <w:pPr>
        <w:spacing w:after="120" w:line="360" w:lineRule="auto"/>
        <w:ind w:firstLine="480"/>
      </w:pPr>
      <w:r>
        <w:rPr>
          <w:rFonts w:ascii="Times New Roman" w:hAnsi="Times New Roman" w:eastAsia="MS Mincho"/>
          <w:b w:val="0"/>
          <w:i w:val="0"/>
          <w:sz w:val="24"/>
        </w:rPr>
        <w:t>1-1-1, Bamba, Hikone, Shiga, 522-8522 Japan</w:t>
      </w:r>
    </w:p>
    <w:p>
      <w:pPr>
        <w:spacing w:after="0" w:before="0" w:line="360" w:lineRule="auto"/>
      </w:pPr>
    </w:p>
    <w:p>
      <w:pPr>
        <w:spacing w:after="120" w:line="360" w:lineRule="auto"/>
        <w:ind w:firstLine="480"/>
      </w:pPr>
      <w:r>
        <w:rPr>
          <w:rFonts w:ascii="Times New Roman" w:hAnsi="Times New Roman" w:eastAsia="MS Mincho"/>
          <w:b w:val="0"/>
          <w:i w:val="0"/>
          <w:sz w:val="24"/>
        </w:rPr>
        <w:t>Telephone: +81-749-27-1023. E-mail: bougtoir@gmail.com. ORCID: 0000-0001-7261-9062.</w:t>
      </w:r>
    </w:p>
    <w:p>
      <w:pPr>
        <w:spacing w:after="0" w:before="0" w:line="360" w:lineRule="auto"/>
      </w:pPr>
    </w:p>
    <w:p>
      <w:pPr>
        <w:spacing w:after="120" w:line="360" w:lineRule="auto"/>
        <w:ind w:firstLine="480"/>
      </w:pPr>
      <w:r>
        <w:rPr>
          <w:rFonts w:ascii="Times New Roman" w:hAnsi="Times New Roman" w:eastAsia="MS Mincho"/>
          <w:b/>
          <w:i w:val="0"/>
          <w:sz w:val="24"/>
        </w:rPr>
        <w:t>Statements and Declarations</w:t>
      </w:r>
    </w:p>
    <w:p>
      <w:pPr>
        <w:spacing w:after="0" w:before="0" w:line="360" w:lineRule="auto"/>
      </w:pPr>
    </w:p>
    <w:p>
      <w:pPr>
        <w:spacing w:after="120" w:line="360" w:lineRule="auto"/>
        <w:ind w:firstLine="480"/>
      </w:pPr>
      <w:r>
        <w:rPr>
          <w:rFonts w:ascii="Times New Roman" w:hAnsi="Times New Roman" w:eastAsia="MS Mincho"/>
          <w:b w:val="0"/>
          <w:i/>
          <w:sz w:val="24"/>
        </w:rPr>
        <w:t>Competing interests.</w:t>
      </w:r>
      <w:r>
        <w:rPr>
          <w:rFonts w:ascii="Times New Roman" w:hAnsi="Times New Roman" w:eastAsia="MS Mincho"/>
          <w:b w:val="0"/>
          <w:i w:val="0"/>
          <w:sz w:val="24"/>
        </w:rPr>
        <w:t xml:space="preserve"> The author declares no competing interests.</w:t>
      </w:r>
    </w:p>
    <w:p>
      <w:pPr>
        <w:spacing w:after="0" w:before="0" w:line="360" w:lineRule="auto"/>
      </w:pPr>
    </w:p>
    <w:p>
      <w:pPr>
        <w:spacing w:after="120" w:line="360" w:lineRule="auto"/>
        <w:ind w:firstLine="480"/>
      </w:pPr>
      <w:r>
        <w:rPr>
          <w:rFonts w:ascii="Times New Roman" w:hAnsi="Times New Roman" w:eastAsia="MS Mincho"/>
          <w:b w:val="0"/>
          <w:i/>
          <w:sz w:val="24"/>
        </w:rPr>
        <w:t>Funding.</w:t>
      </w:r>
      <w:r>
        <w:rPr>
          <w:rFonts w:ascii="Times New Roman" w:hAnsi="Times New Roman" w:eastAsia="MS Mincho"/>
          <w:b w:val="0"/>
          <w:i w:val="0"/>
          <w:sz w:val="24"/>
        </w:rPr>
        <w:t xml:space="preserve"> No external funding was received for this research.</w:t>
      </w:r>
    </w:p>
    <w:p>
      <w:pPr>
        <w:spacing w:after="0" w:before="0" w:line="360" w:lineRule="auto"/>
      </w:pPr>
    </w:p>
    <w:p>
      <w:pPr>
        <w:spacing w:after="120" w:line="360" w:lineRule="auto"/>
        <w:ind w:firstLine="480"/>
      </w:pPr>
      <w:r>
        <w:rPr>
          <w:rFonts w:ascii="Times New Roman" w:hAnsi="Times New Roman" w:eastAsia="MS Mincho"/>
          <w:b w:val="0"/>
          <w:i/>
          <w:sz w:val="24"/>
        </w:rPr>
        <w:t>Data and code availability.</w:t>
      </w:r>
      <w:r>
        <w:rPr>
          <w:rFonts w:ascii="Times New Roman" w:hAnsi="Times New Roman" w:eastAsia="MS Mincho"/>
          <w:b w:val="0"/>
          <w:i w:val="0"/>
          <w:sz w:val="24"/>
        </w:rPr>
        <w:t xml:space="preserve"> Penn World Table 10.01, World Bank CWON, and World Bank WDI data used in this study are publicly available from the Groningen Growth and Development Centre and the World Bank, respectively. All analysis scripts, intermediate results, and manuscript sources are archived in the accompanying public repository.</w:t>
      </w:r>
    </w:p>
    <w:p>
      <w:pPr>
        <w:spacing w:after="0" w:before="0" w:line="360" w:lineRule="auto"/>
      </w:pPr>
    </w:p>
    <w:p>
      <w:pPr>
        <w:spacing w:after="120" w:line="360" w:lineRule="auto"/>
        <w:ind w:firstLine="480"/>
      </w:pPr>
      <w:r>
        <w:rPr>
          <w:rFonts w:ascii="Times New Roman" w:hAnsi="Times New Roman" w:eastAsia="MS Mincho"/>
          <w:b w:val="0"/>
          <w:i/>
          <w:sz w:val="24"/>
        </w:rPr>
        <w:t>Declaration of generative AI use.</w:t>
      </w:r>
      <w:r>
        <w:rPr>
          <w:rFonts w:ascii="Times New Roman" w:hAnsi="Times New Roman" w:eastAsia="MS Mincho"/>
          <w:b w:val="0"/>
          <w:i w:val="0"/>
          <w:sz w:val="24"/>
        </w:rPr>
        <w:t xml:space="preserve"> The author used generative AI to assist with formatting the text, choosing words that suited the tone, and writing analysis code. The author reviewed and edited the content as needed and takes full responsibility for the content of the published article.</w:t>
      </w:r>
    </w:p>
    <w:p>
      <w:pPr>
        <w:spacing w:after="0" w:before="0" w:line="360" w:lineRule="auto"/>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