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MRT in the three mass ratios.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mass ratios as covariates over the 64-configuration grid, we obtain MRT ∝ μ</w:t>
      </w:r>
      <w:r>
        <w:rPr>
          <w:i/>
          <w:sz w:val="22"/>
          <w:vertAlign w:val="subscript"/>
        </w:rPr>
        <w:t>12</w:t>
      </w:r>
      <w:r>
        <w:rPr>
          <w:sz w:val="22"/>
          <w:vertAlign w:val="superscript"/>
        </w:rPr>
        <w:t>2.08</w:t>
      </w:r>
      <w:r>
        <w:rPr>
          <w:sz w:val="22"/>
        </w:rPr>
        <w:t xml:space="preserve"> × μ</w:t>
      </w:r>
      <w:r>
        <w:rPr>
          <w:i/>
          <w:sz w:val="22"/>
          <w:vertAlign w:val="subscript"/>
        </w:rPr>
        <w:t>out</w:t>
      </w:r>
      <w:r>
        <w:rPr>
          <w:sz w:val="22"/>
          <w:vertAlign w:val="superscript"/>
        </w:rPr>
        <w:t>−1.68</w:t>
      </w:r>
      <w:r>
        <w:rPr>
          <w:sz w:val="22"/>
        </w:rPr>
        <w:t xml:space="preserve"> × M</w:t>
      </w:r>
      <w:r>
        <w:rPr>
          <w:sz w:val="22"/>
          <w:vertAlign w:val="superscript"/>
        </w:rPr>
        <w:t>−0.62</w:t>
      </w:r>
      <w:r>
        <w:rPr>
          <w:sz w:val="22"/>
        </w:rPr>
        <w:t xml:space="preserve"> (R</w:t>
      </w:r>
      <w:r>
        <w:rPr>
          <w:sz w:val="22"/>
        </w:rPr>
        <w:t>^</w:t>
      </w:r>
      <w:r>
        <w:rPr>
          <w:sz w:val="22"/>
        </w:rPr>
        <w:t>2 = 0.67, inter-individual variability ω = 0.35; Fig. 4). Heavier initial binaries survive longer (deeper wells); heavier intruders disrupt faster. This closed-form scaling replaces ad hoc outcome fits and,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45471"/>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45471"/>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MRT (R</w:t>
      </w:r>
      <w:r>
        <w:rPr>
          <w:sz w:val="18"/>
        </w:rPr>
        <w:t>^</w:t>
      </w:r>
      <w:r>
        <w:rPr>
          <w:sz w:val="18"/>
        </w:rPr>
        <w:t>2 = 0.67);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correlates with the empirical mean lifetime (R</w:t>
      </w:r>
      <w:r>
        <w:rPr>
          <w:sz w:val="22"/>
        </w:rPr>
        <w:t>^</w:t>
      </w:r>
      <w:r>
        <w:rPr>
          <w:sz w:val="22"/>
        </w:rPr>
        <w:t>2 = 0.61; Fig. 9b), so the compartment model captures the mass dependence that flux theory targets while, unlike a single flux timescale, returning it as one transferable closed-form estimator.</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