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[Date]</w:t>
      </w:r>
    </w:p>
    <w:p/>
    <w:p>
      <w:r>
        <w:rPr>
          <w:rFonts w:ascii="Times New Roman" w:hAnsi="Times New Roman"/>
          <w:sz w:val="24"/>
        </w:rPr>
        <w:t>Prof. Dr. Madjid Tavana, PhD</w:t>
      </w:r>
    </w:p>
    <w:p>
      <w:r>
        <w:rPr>
          <w:rFonts w:ascii="Times New Roman" w:hAnsi="Times New Roman"/>
          <w:sz w:val="24"/>
        </w:rPr>
        <w:t>Editor-in-Chief</w:t>
      </w:r>
    </w:p>
    <w:p>
      <w:r>
        <w:rPr>
          <w:rFonts w:ascii="Times New Roman" w:hAnsi="Times New Roman"/>
          <w:sz w:val="24"/>
        </w:rPr>
        <w:t>Healthcare Analytics</w:t>
      </w:r>
    </w:p>
    <w:p/>
    <w:p>
      <w:r>
        <w:rPr>
          <w:rFonts w:ascii="Times New Roman" w:hAnsi="Times New Roman"/>
          <w:sz w:val="24"/>
        </w:rPr>
        <w:t>Dear Editor,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We submit an original research article, "Litigation risk and specialty-level physician workforce allocation in Japan, 2008–2024: a sensitivity-analysis framework with equivalence testing", for consideration by Healthcare Analytics.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Healthcare Analytics advances data-driven analytics for healthcare decisions. Our study treats specialty physician workforce planning as a healthcare resource-allocation problem and uses it as a test case for a transparent, reproducible sensitivity-analysis framework. The analytical contribution is diagnostic: we show how two common observational fallacies—size confounding and interpolation of sparse panel data—can be identified and removed when a proposed policy lever (malpractice-litigation risk) is evaluated against physician workforce outcomes.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Using national primary data for 12 clinical specialties in Japan, we measure exposure as a size-adjusted rate (closed malpractice claims per 1,000 physicians) and estimate panel fixed-effects models with equivalence (TOST) testing. The effect of litigation risk on physician and hospital growth is statistically equivalent to a null within policy-relevant margins. We show that count-based associations disappear once specialty-size confounding and interpolation are removed, and we discuss how structural incentives—notably no-fault obstetric compensation—may sustain the specialty workforce.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All data and code are openly available in the project repository (https://github.com/bougtoir/medical-accident-its-analysis) and every reported number is reproducible from the raw primary files.</w:t>
      </w:r>
    </w:p>
    <w:p>
      <w:pPr>
        <w:spacing w:after="160" w:line="360" w:lineRule="auto"/>
      </w:pPr>
      <w:r>
        <w:rPr>
          <w:rFonts w:ascii="Times New Roman" w:hAnsi="Times New Roman"/>
          <w:sz w:val="22"/>
        </w:rPr>
        <w:t>The work is original, not under consideration elsewhere, and all authors approve the submission. We declare no conflicts of interest.</w:t>
      </w:r>
    </w:p>
    <w:p>
      <w:r>
        <w:rPr>
          <w:rFonts w:ascii="Times New Roman" w:hAnsi="Times New Roman"/>
          <w:sz w:val="24"/>
        </w:rPr>
        <w:t>Sincerely,</w:t>
      </w:r>
    </w:p>
    <w:p/>
    <w:p>
      <w:r>
        <w:rPr>
          <w:rFonts w:ascii="Times New Roman" w:hAnsi="Times New Roman"/>
          <w:sz w:val="24"/>
        </w:rPr>
        <w:t>[Corresponding author, on behalf of all authors]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