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Litigation risk and specialty-level physician workforce allocation in Japan, 2008–2024: a sensitivity-analysis framework with equivalence testing</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is a healthcare workforce allocation problem in Japan, where policy discussions often assume that malpractice-litigation risk pushes physicians away from high-risk specialties. We used this question as a test case for a transparent, reproducible sensitivity-analysis framework that evaluates a proposed policy lever while avoiding size confounding and interpolation of sparse panels. Using national primary data for 12 specialties (2008–2024), we measured exposure as closed malpractice claims per 1,000 physicians (rate, not count) and regressed biennial log-change in physicians and hospitals on the lagged litigation rate in a panel with specialty and wave fixed effects, cluster-robust standard errors, small-cluster t(G-1) inference, and two one-sided equivalence (TOST) tests. The workforce grew in 11 of 12 specialties; general surgery, which changed by -2.3%, was the exception. Litigation rate was not associated with physician growth (coefficient -0.0009; 95% CI -0.0043 to +0.0025; p=0.56) or hospital growth (p=0.90). A one-SD higher rate changed physician growth by less than ±1% (TOST p=0.023; less than ±2% was p=&lt;0.001); hospital growth was within ±2% (p=0.002) but not the stricter ±1% margin (p=0.059). Sensitivity analyses were unchanged and per-specialty rank correlations were mostly positive (10/12) and none significant. Specialty-level litigation risk is not associated with workforce decline and is statistically equivalent to a null effect for physicians. The framework is exportable to other policy levers in healthcare workforce allocation.</w:t>
      </w:r>
    </w:p>
    <w:p>
      <w:pPr>
        <w:spacing w:after="360"/>
      </w:pPr>
      <w:r>
        <w:rPr>
          <w:rFonts w:ascii="Times New Roman" w:hAnsi="Times New Roman"/>
          <w:b/>
        </w:rPr>
        <w:t xml:space="preserve">Keywords: </w:t>
      </w:r>
      <w:r>
        <w:rPr>
          <w:rFonts w:ascii="Times New Roman" w:hAnsi="Times New Roman"/>
          <w:b w:val="0"/>
          <w:i w:val="0"/>
          <w:sz w:val="24"/>
        </w:rPr>
        <w:t>malpractice litigation; physician workforce; specialty maldistribution; equivalence testing; health analytics;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Japan faces a marked maldistribution of physicians across specialties despite continued growth in the total physician supply. High-acuity fields such as surgery, obstetrics and gynaecology, paediatrics and emergency care are widely perceived as understaffed.</w:t>
      </w:r>
      <w:r>
        <w:rPr>
          <w:rFonts w:ascii="Times New Roman" w:hAnsi="Times New Roman"/>
          <w:vertAlign w:val="superscript"/>
        </w:rPr>
        <w:t>[1]</w:t>
      </w:r>
      <w:r>
        <w:rPr>
          <w:rFonts w:ascii="Times New Roman" w:hAnsi="Times New Roman"/>
          <w:b w:val="0"/>
          <w:i w:val="0"/>
          <w:sz w:val="24"/>
        </w:rPr>
        <w:t xml:space="preserve"> A recurring policy intuition is that medical safety incidents and the threat of malpractice litigation push physicians away from high-risk specialties toward lower-risk practice.</w:t>
      </w:r>
      <w:r>
        <w:rPr>
          <w:rFonts w:ascii="Times New Roman" w:hAnsi="Times New Roman"/>
          <w:vertAlign w:val="superscript"/>
        </w:rPr>
        <w:t>[2-3]</w:t>
      </w:r>
      <w:r>
        <w:rPr>
          <w:rFonts w:ascii="Times New Roman" w:hAnsi="Times New Roman"/>
          <w:b w:val="0"/>
          <w:i w:val="0"/>
          <w:sz w:val="24"/>
        </w:rPr>
        <w:t xml:space="preserve"> If true, reducing litigation exposure would be a lever against maldistribution.</w:t>
      </w:r>
    </w:p>
    <w:p>
      <w:pPr>
        <w:spacing w:line="480" w:lineRule="auto" w:after="120"/>
      </w:pPr>
      <w:r>
        <w:rPr>
          <w:rFonts w:ascii="Times New Roman" w:hAnsi="Times New Roman"/>
          <w:b w:val="0"/>
          <w:i w:val="0"/>
          <w:sz w:val="24"/>
        </w:rPr>
        <w:t>Prior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count-based associations can arise without any behavioural mechanism. Second, the physician census is collected only biennially; interpolating it to an annual series and analysing it as if each year were an independent observation inflates the degrees of freedom of any lag-based method. These pitfalls are not unique to malpractice research; they arise whenever administrative counts are used to infer behavioural responses in healthcare organisations. We therefore treat the litigation-workforce question as a test case for a transparent, reproducible sensitivity-analysis framework for healthcare workforce allocation decisions.</w:t>
      </w:r>
    </w:p>
    <w:p>
      <w:pPr>
        <w:spacing w:line="480" w:lineRule="auto" w:after="120"/>
      </w:pPr>
      <w:r>
        <w:rPr>
          <w:rFonts w:ascii="Times New Roman" w:hAnsi="Times New Roman"/>
          <w:b w:val="0"/>
          <w:i w:val="0"/>
          <w:sz w:val="24"/>
        </w:rPr>
        <w:t>We therefore examined the question using rates rather than counts, using only measured biennial physician observations, and using equivalence testing—which can provide positive evidence for the absence of a meaningful effect rather than merely failing to reject a null.</w:t>
      </w:r>
      <w:r>
        <w:rPr>
          <w:rFonts w:ascii="Times New Roman" w:hAnsi="Times New Roman"/>
          <w:vertAlign w:val="superscript"/>
        </w:rPr>
        <w:t>[4-5]</w:t>
      </w:r>
      <w:r>
        <w:rPr>
          <w:rFonts w:ascii="Times New Roman" w:hAnsi="Times New Roman"/>
          <w:b w:val="0"/>
          <w:i w:val="0"/>
          <w:sz w:val="24"/>
        </w:rPr>
        <w:t xml:space="preserve"> We also account for the Japan Obstetric Compensation System for Cerebral Palsy (JOCS-CP), a no-fault scheme launched in January 2009 that sits within the study window and applies to the specialty most often cited in this debate.</w:t>
      </w:r>
      <w:r>
        <w:rPr>
          <w:rFonts w:ascii="Times New Roman" w:hAnsi="Times New Roman"/>
          <w:vertAlign w:val="superscript"/>
        </w:rPr>
        <w:t>[6]</w:t>
      </w:r>
    </w:p>
    <w:p>
      <w:pPr>
        <w:pStyle w:val="Heading1"/>
      </w:pPr>
      <w:r>
        <w:rPr>
          <w:rFonts w:ascii="Times New Roman" w:hAnsi="Times New Roman"/>
          <w:color w:val="000000"/>
        </w:rPr>
        <w:t>Materials and 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Strengthening the Reporting of Observational Studies in Epidemiology (STROBE) guidance.</w:t>
      </w:r>
      <w:r>
        <w:rPr>
          <w:rFonts w:ascii="Times New Roman" w:hAnsi="Times New Roman"/>
          <w:vertAlign w:val="superscript"/>
        </w:rPr>
        <w:t>[7]</w:t>
      </w:r>
      <w:r>
        <w:rPr>
          <w:rFonts w:ascii="Times New Roman" w:hAnsi="Times New Roman"/>
          <w:b w:val="0"/>
          <w:i w:val="0"/>
          <w:sz w:val="24"/>
        </w:rPr>
        <w:t xml:space="preserve"> We studied 12 core clinical specialties for which the Supreme Court reports specialty-specific litigation. Three official primary series drove the main analysis: physician counts by specialty from the biennial Statistics of Physicians, Dentists and Pharmacists</w:t>
      </w:r>
      <w:r>
        <w:rPr>
          <w:rFonts w:ascii="Times New Roman" w:hAnsi="Times New Roman"/>
          <w:vertAlign w:val="superscript"/>
        </w:rPr>
        <w:t>[8]</w:t>
      </w:r>
      <w:r>
        <w:rPr>
          <w:rFonts w:ascii="Times New Roman" w:hAnsi="Times New Roman"/>
          <w:b w:val="0"/>
          <w:i w:val="0"/>
          <w:sz w:val="24"/>
        </w:rPr>
        <w:t>; closed malpractice claims by specialty from the Supreme Court of Japan</w:t>
      </w:r>
      <w:r>
        <w:rPr>
          <w:rFonts w:ascii="Times New Roman" w:hAnsi="Times New Roman"/>
          <w:vertAlign w:val="superscript"/>
        </w:rPr>
        <w:t>[9]</w:t>
      </w:r>
      <w:r>
        <w:rPr>
          <w:rFonts w:ascii="Times New Roman" w:hAnsi="Times New Roman"/>
          <w:b w:val="0"/>
          <w:i w:val="0"/>
          <w:sz w:val="24"/>
        </w:rPr>
        <w:t>; and hospital counts by specialty from the annual Survey of Medical Institutions</w:t>
      </w:r>
      <w:r>
        <w:rPr>
          <w:rFonts w:ascii="Times New Roman" w:hAnsi="Times New Roman"/>
          <w:vertAlign w:val="superscript"/>
        </w:rPr>
        <w:t>[10]</w:t>
      </w:r>
      <w:r>
        <w:rPr>
          <w:rFonts w:ascii="Times New Roman" w:hAnsi="Times New Roman"/>
          <w:b w:val="0"/>
          <w:i w:val="0"/>
          <w:sz w:val="24"/>
        </w:rPr>
        <w:t>. Two sensitivity series were also used: annual medical accident investigation reports by specialty from the Japan Medical Safety Research Organisation (JMSR, 2015-2024)</w:t>
      </w:r>
      <w:r>
        <w:rPr>
          <w:rFonts w:ascii="Times New Roman" w:hAnsi="Times New Roman"/>
          <w:vertAlign w:val="superscript"/>
        </w:rPr>
        <w:t>[11]</w:t>
      </w:r>
      <w:r>
        <w:rPr>
          <w:rFonts w:ascii="Times New Roman" w:hAnsi="Times New Roman"/>
          <w:b w:val="0"/>
          <w:i w:val="0"/>
          <w:sz w:val="24"/>
        </w:rPr>
        <w:t xml:space="preserve"> and total national newspaper article counts from Nikkei Telecom 21 (2004-2018; the sensitivity analysis uses 2009-2018; keywords: medical error + medical malpractice).</w:t>
      </w:r>
      <w:r>
        <w:rPr>
          <w:rFonts w:ascii="Times New Roman" w:hAnsi="Times New Roman"/>
          <w:vertAlign w:val="superscript"/>
        </w:rPr>
        <w:t>[12]</w:t>
      </w:r>
      <w:r>
        <w:rPr>
          <w:rFonts w:ascii="Times New Roman" w:hAnsi="Times New Roman"/>
          <w:b w:val="0"/>
          <w:i w:val="0"/>
          <w:sz w:val="24"/>
        </w:rPr>
        <w:t xml:space="preserve"> The full extraction pipeline (with source identifiers and SHA-256 checksums) is documented in the accompanying repository (https://github.com/bougtoir/medical-accident-its-analysis).</w:t>
      </w:r>
    </w:p>
    <w:p>
      <w:pPr>
        <w:spacing w:line="480" w:lineRule="auto" w:after="120"/>
      </w:pPr>
      <w:r>
        <w:rPr>
          <w:rFonts w:ascii="Times New Roman" w:hAnsi="Times New Roman"/>
          <w:b w:val="0"/>
          <w:i w:val="0"/>
          <w:sz w:val="24"/>
        </w:rPr>
        <w:t>Physician counts use the principal specialty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vertAlign w:val="superscript"/>
        </w:rPr>
        <w:t>[9]</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vertAlign w:val="superscript"/>
        </w:rPr>
        <w:t>[13]</w:t>
      </w:r>
      <w:r>
        <w:rPr>
          <w:rFonts w:ascii="Times New Roman" w:hAnsi="Times New Roman"/>
          <w:b w:val="0"/>
          <w:i w:val="0"/>
          <w:sz w:val="24"/>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We formalised the evaluation as a sensitivity-analysis framework that varies the exposure definition (counts versus rates), panel frequency (measured biennial waves versus interpolated annual values), and potential confounders (JMSR reports, media coverage, JOCS-CP period) while holding the specialty-level panel structure constant. The exposure was the litigation rate, defined as closed claims per 1,000 physicians in each specialty-year, which removes specialty-size confounding because large specialties generate more claims for reasons unrelated to per-physician risk. The primary analysis used the 9 measured biennial physician waves (2008–2024). For each specialty we computed the biennial log-change in physicians (and, separately, in hospitals) and regressed it on the litigation rate at the start of the interval, in a panel with specialty and wave fixed effects and standard errors clustered by specialty.</w:t>
      </w:r>
      <w:r>
        <w:rPr>
          <w:rFonts w:ascii="Times New Roman" w:hAnsi="Times New Roman"/>
          <w:vertAlign w:val="superscript"/>
        </w:rPr>
        <w:t>[14]</w:t>
      </w:r>
      <w:r>
        <w:rPr>
          <w:rFonts w:ascii="Times New Roman" w:hAnsi="Times New Roman"/>
          <w:b w:val="0"/>
          <w:i w:val="0"/>
          <w:sz w:val="24"/>
        </w:rPr>
        <w:t xml:space="preserve"> Clusters are defined by specialty, so G=12 and the small-cluster correction uses a t-distribution with G-1 degrees of freedom for all cluster-robust inference. Supplementary Figure 1 summarises the sensitivity-analysis framework. The primary estimating equation, for specialty s and wave t, was as follows.</w:t>
      </w:r>
    </w:p>
    <w:p>
      <w:pPr>
        <w:jc w:val="center"/>
      </w:pPr>
      <m:oMath xmlns:mml="http://www.w3.org/1998/Math/MathML">
        <m:r>
          <m:t>Δ</m:t>
        </m:r>
        <m:r>
          <m:rPr>
            <m:sty m:val="p"/>
          </m:rPr>
          <m:t>log</m:t>
        </m:r>
        <m:r>
          <m:t>(</m:t>
        </m:r>
        <m:sSub>
          <m:e>
            <m:r>
              <m:t>Y</m:t>
            </m:r>
          </m:e>
          <m:sub>
            <m:r>
              <m:t>st</m:t>
            </m:r>
          </m:sub>
        </m:sSub>
        <m:r>
          <m:t>)=</m:t>
        </m:r>
        <m:sSub>
          <m:e>
            <m:r>
              <m:t>α</m:t>
            </m:r>
          </m:e>
          <m:sub>
            <m:r>
              <m:t>s</m:t>
            </m:r>
          </m:sub>
        </m:sSub>
        <m:r>
          <m:t>+</m:t>
        </m:r>
        <m:sSub>
          <m:e>
            <m:r>
              <m:t>δ</m:t>
            </m:r>
          </m:e>
          <m:sub>
            <m:r>
              <m:t>t</m:t>
            </m:r>
          </m:sub>
        </m:sSub>
        <m:r>
          <m:t>+β·</m:t>
        </m:r>
        <m:sSub>
          <m:e>
            <m:r>
              <m:rPr>
                <m:nor/>
              </m:rPr>
              <m:t>litrate</m:t>
            </m:r>
          </m:e>
          <m:sub>
            <m:r>
              <m:t>s,t−1</m:t>
            </m:r>
          </m:sub>
        </m:sSub>
        <m:r>
          <m:t>+</m:t>
        </m:r>
        <m:sSub>
          <m:e>
            <m:r>
              <m:t>ϵ</m:t>
            </m:r>
          </m:e>
          <m:sub>
            <m:r>
              <m:t>st</m:t>
            </m:r>
          </m:sub>
        </m:sSub>
      </m:oMath>
    </w:p>
    <w:p>
      <w:pPr>
        <w:spacing w:line="480" w:lineRule="auto" w:after="120"/>
      </w:pPr>
      <w:r>
        <w:rPr>
          <w:rFonts w:ascii="Times New Roman" w:hAnsi="Times New Roman"/>
          <w:b w:val="0"/>
          <w:i w:val="0"/>
          <w:sz w:val="24"/>
        </w:rPr>
        <w:t>Here, Y is either physicians or hospitals, alpha_s are specialty fixed effects, delta_t are wave fixed effects, and standard errors are clustered by specialty. For the equivalence analysis we standardised litrate to a z-score, so beta gives the expected biennial log-change per one-SD increase in the litigation rate.</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vertAlign w:val="superscript"/>
        </w:rPr>
        <w:t>[4-5]</w:t>
      </w:r>
      <w:r>
        <w:rPr>
          <w:rFonts w:ascii="Times New Roman" w:hAnsi="Times New Roman"/>
          <w:b w:val="0"/>
          <w:i w:val="0"/>
          <w:sz w:val="24"/>
        </w:rPr>
        <w:t xml:space="preserve"> For a pre-specified margin m, the two one-sided null hypotheses are</w:t>
      </w:r>
    </w:p>
    <w:p>
      <w:pPr>
        <w:jc w:val="center"/>
      </w:pPr>
      <m:oMath xmlns:mml="http://www.w3.org/1998/Math/MathML">
        <m:sSub>
          <m:e>
            <m:r>
              <m:t>H</m:t>
            </m:r>
          </m:e>
          <m:sub>
            <m:r>
              <m:t>0</m:t>
            </m:r>
          </m:sub>
        </m:sSub>
        <m:r>
          <m:t>:β≤−m</m:t>
        </m:r>
        <m:r>
          <m:rPr>
            <m:nor/>
          </m:rPr>
          <m:t>and</m:t>
        </m:r>
        <m:sSub>
          <m:e>
            <m:r>
              <m:t>H</m:t>
            </m:r>
          </m:e>
          <m:sub>
            <m:r>
              <m:t>0</m:t>
            </m:r>
          </m:sub>
        </m:sSub>
        <m:r>
          <m:t>:β≥+m</m:t>
        </m:r>
      </m:oMath>
    </w:p>
    <w:p>
      <w:pPr>
        <w:spacing w:line="480" w:lineRule="auto" w:after="120"/>
      </w:pPr>
      <w:r>
        <w:rPr>
          <w:rFonts w:ascii="Times New Roman" w:hAnsi="Times New Roman"/>
          <w:b w:val="0"/>
          <w:i w:val="0"/>
          <w:sz w:val="24"/>
        </w:rPr>
        <w:t>Equivalence is declared when both one-sided tests yield p &lt; alpha. We used margins of 1% and 2% biennial workforce change because they are smaller than typical policy targets for specialty workforce rebalancing and represent changes that workforce planners would consider substantively small.</w:t>
      </w:r>
    </w:p>
    <w:p>
      <w:pPr>
        <w:spacing w:line="480" w:lineRule="auto" w:after="120"/>
      </w:pPr>
      <w:r>
        <w:rPr>
          <w:rFonts w:ascii="Times New Roman" w:hAnsi="Times New Roman"/>
          <w:b w:val="0"/>
          <w:i w:val="0"/>
          <w:sz w:val="24"/>
        </w:rPr>
        <w:t>All reported confidence intervals and two-sided p-values use a t-distribution with G-1 = 11 degrees of freedom, the small-cluster correction recommended by Cameron and Miller.</w:t>
      </w:r>
      <w:r>
        <w:rPr>
          <w:rFonts w:ascii="Times New Roman" w:hAnsi="Times New Roman"/>
          <w:vertAlign w:val="superscript"/>
        </w:rPr>
        <w:t>[15]</w:t>
      </w:r>
      <w:r>
        <w:rPr>
          <w:rFonts w:ascii="Times New Roman" w:hAnsi="Times New Roman"/>
          <w:b w:val="0"/>
          <w:i w:val="0"/>
          <w:sz w:val="24"/>
        </w:rPr>
        <w:t xml:space="preserve"> An indicator for obstetrics and gynaecology from 2009 onward captured the JOCS-CP period.</w:t>
      </w:r>
      <w:r>
        <w:rPr>
          <w:rFonts w:ascii="Times New Roman" w:hAnsi="Times New Roman"/>
          <w:vertAlign w:val="superscript"/>
        </w:rPr>
        <w:t>[6]</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(iii) raw counts instead of rates, (iv) the annual hospital series 2016-2024 additionally controlling for the JMSR report rate (reports per 1,000 physicians), and (v) the annual hospital series 2009–2018 additionally controlling for total Nikkei Telecom article counts. Because the article-count series is a national yearly variable, it is collinear with full wave fixed effects; this sensitivity therefore uses specialty fixed effects plus a linear time trend rather than wave dummies. The JOCS-CP indicator and all sensitivity models are exploratory; we report raw p-values and Holm step-down adjusted p-values for this family. Analyses used Python (statsmodels); code and data are openly available at https://github.com/bougtoir/medical-accident-its-analysis.</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2). Over the same period the physician workforce grew in 11 of 12 specialties (Supplementary Figure 3; Table 1); the only exception was general surgery, which was essentially flat (-2.3% across 16 years). Exposure and workforce therefore did not move in opposite directions as a flight-from-risk account would predict.</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Hospitals 2008</w:t>
            </w:r>
          </w:p>
        </w:tc>
        <w:tc>
          <w:tcPr>
            <w:tcW w:type="dxa" w:w="1337"/>
          </w:tcPr>
          <w:p>
            <w:pPr>
              <w:jc w:val="center"/>
            </w:pPr>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-0.0043 to +0.0025; p=0.56; n=96) or with hospital growth (coefficient +0.0003; p=0.90). Equivalence testing (Figure 1; Table 2) showed that a 1-SD higher litigation rate changed biennial physician growth by less than ±1% (TOST p=0.023; point estimate -0.21% with 90% CI -0.84% to +0.42%). For hospital growth the point estimate was +0.07% (90% CI -0.91% to +1.06%): it was within the ±2% margin (p=0.002) but not the stricter ±1% margin (p=0.059). Thus the data are consistent with the absence of a policy-relevant effect on physician growth, and with at most a small effect on hospital growth. Detailed TOST results by margin are reported in Supplementary Table 2.</w:t>
      </w:r>
    </w:p>
    <w:p>
      <w:pPr>
        <w:spacing w:before="280" w:after="120"/>
      </w:pPr>
      <w:r>
        <w:rPr>
          <w:rFonts w:ascii="Times New Roman" w:hAnsi="Times New Roman"/>
          <w:b/>
          <w:sz w:val="20"/>
        </w:rPr>
        <w:t>Figure 1. Equivalence (TOST) of the litigation-rate effect against ±1% and ±2% margins; horizontal bars are 90% confidence intervals.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a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-0.0043, +0.0025</w:t>
            </w:r>
          </w:p>
        </w:tc>
        <w:tc>
          <w:tcPr>
            <w:tcW w:type="dxa" w:w="1872"/>
          </w:tcPr>
          <w:p>
            <w:pPr>
              <w:jc w:val="center"/>
            </w:pPr>
            <w:r>
              <w:rPr>
                <w:rFonts w:ascii="Times New Roman" w:hAnsi="Times New Roman"/>
                <w:sz w:val="18"/>
              </w:rPr>
              <w:t>0.56</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-0.0050, +0.0056</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0.51</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0.39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reveal a negative association in this measured-only design (p=0.51). Figure 2 shows the contrast: the count exposure is confounded by specialty size (panel a), whereas the rate-adjusted exposure is not (panel b); points are coloured and shaped by specialty so readers can identify which fields drive any apparent pattern. The annual hospital and interpolated annual-physician sensitivity analyses were also null (p=0.99 and p=0.39), confirming that the null result is robust to panel frequency and exposure definition. The JOCS-CP indicator was positive in sign in the obstetric-hospital model (coefficient +0.024, raw p=0.013), but it did not remain significant after the small-cluster correction and Holm adjustment for the exploratory sensitivity family (Holm p=0.119); we therefore treat it as exploratory and do not interpret it as a causal policy effect.</w:t>
      </w:r>
    </w:p>
    <w:p>
      <w:pPr>
        <w:spacing w:before="280" w:after="120"/>
      </w:pPr>
      <w:r>
        <w:rPr>
          <w:rFonts w:ascii="Times New Roman" w:hAnsi="Times New Roman"/>
          <w:b/>
          <w:sz w:val="20"/>
        </w:rPr>
        <w:t>Figure 2. Biennial physician growth against lagged litigation exposure measured as (a) counts and (b) rates. Points are coloured by specialty; the count panel shows the size confounding that the rate panel removes.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a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spacing w:line="480" w:lineRule="auto" w:after="120"/>
      </w:pPr>
      <w:r>
        <w:rPr>
          <w:rFonts w:ascii="Times New Roman" w:hAnsi="Times New Roman"/>
          <w:b w:val="0"/>
          <w:i w:val="0"/>
          <w:sz w:val="24"/>
        </w:rPr>
        <w:t>We also evaluated JMSR medical-accident investigation report counts as a potential confounder or competing exposure.</w:t>
      </w:r>
      <w:r>
        <w:rPr>
          <w:rFonts w:ascii="Times New Roman" w:hAnsi="Times New Roman"/>
          <w:vertAlign w:val="superscript"/>
        </w:rPr>
        <w:t>[13]</w:t>
      </w:r>
      <w:r>
        <w:rPr>
          <w:rFonts w:ascii="Times New Roman" w:hAnsi="Times New Roman"/>
          <w:b w:val="0"/>
          <w:i w:val="0"/>
          <w:sz w:val="24"/>
        </w:rPr>
        <w:t xml:space="preserve"> From 2015 to 2024, raw litigation and JMSR report counts were strongly correlated across specialties (Pearson r=0.82), because large specialties generate more of both. After removing specialty-specific levels and trends, however, the within-specialty correlation was negligible (r=-0.02). A model of annual hospital growth for 2016-2024 that included both the lagged litigation rate and the lagged JMSR report rate left the litigation coefficient essentially unchanged (+0.0021; p=0.28) and the JMSR term was not associated with hospital growth (p=0.66; Supplementary Table 3). The null litigation result is therefore neither explained nor masked by broader medical-accident reporting.</w:t>
      </w:r>
    </w:p>
    <w:p>
      <w:pPr>
        <w:spacing w:line="480" w:lineRule="auto" w:after="120"/>
      </w:pPr>
      <w:r>
        <w:rPr>
          <w:rFonts w:ascii="Times New Roman" w:hAnsi="Times New Roman"/>
          <w:b w:val="0"/>
          <w:i w:val="0"/>
          <w:sz w:val="24"/>
        </w:rPr>
        <w:t>Finally, we tested national newspaper coverage from Nikkei Telecom 21 as a potential confounder.</w:t>
      </w:r>
      <w:r>
        <w:rPr>
          <w:rFonts w:ascii="Times New Roman" w:hAnsi="Times New Roman"/>
          <w:vertAlign w:val="superscript"/>
        </w:rPr>
        <w:t>[12]</w:t>
      </w:r>
      <w:r>
        <w:rPr>
          <w:rFonts w:ascii="Times New Roman" w:hAnsi="Times New Roman"/>
          <w:b w:val="0"/>
          <w:i w:val="0"/>
          <w:sz w:val="24"/>
        </w:rPr>
        <w:t xml:space="preserve"> Total annual article counts (keywords: medical error + medical malpractice) and total litigation counts were correlated (Pearson r=0.81), consistent with greater public attention in high-litigation years. Within the annual hospital panel, however, the lagged litigation rate and the media-count series were only weakly correlated. A model of annual hospital growth for 2009-2018 that included both the lagged litigation rate and the lagged article count (per 1,000 articles) left the litigation coefficient essentially unchanged and the media term was not associated with hospital growth (p=0.21; Supplementary Table 4). Media coverage therefore does not explain the null litigation effect either. Holm step-down adjusted p-values for the exploratory sensitivity family are reported in Supplementary Table 5.</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physician observations, we found no association between specialty-level malpractice-litigation risk and subsequent physician or hospital decline. Equivalence testing showed that any effect of litigation risk on biennial physician growth is smaller than 1% (90% CI within the 1% margin), and any effect on hospital growth is smaller than 2% (but not confidently smaller than 1%). These data therefore do not support the hypothesis that physicians systematically abandon high-litigation specialties over 16 years of official statistics.</w:t>
      </w:r>
    </w:p>
    <w:p>
      <w:pPr>
        <w:spacing w:line="480" w:lineRule="auto" w:after="120"/>
      </w:pPr>
      <w:r>
        <w:rPr>
          <w:rFonts w:ascii="Times New Roman" w:hAnsi="Times New Roman"/>
          <w:b w:val="0"/>
          <w:i w:val="0"/>
          <w:sz w:val="24"/>
        </w:rPr>
        <w:t>A null result is not merely a failure to detect an effect. The narrow confidence intervals and pre-specified equivalence margins allow us to say that, if litigation risk does influence specialty-level workforce growth, the magnitude is too small to matter for workforce planning. Across the sensitivity analyses, alternative exposure definitions, interpolation, and potential confounders did not change this conclusion, which is the main value of the framework for healthcare workforce allocation decisions.</w:t>
      </w:r>
    </w:p>
    <w:p>
      <w:pPr>
        <w:spacing w:line="480" w:lineRule="auto" w:after="120"/>
      </w:pPr>
      <w:r>
        <w:rPr>
          <w:rFonts w:ascii="Times New Roman" w:hAnsi="Times New Roman"/>
          <w:b w:val="0"/>
          <w:i w:val="0"/>
          <w:sz w:val="24"/>
        </w:rPr>
        <w:t>The raw-count sensitivity did not reveal a negative association in these data, illustrating that the apparent count-litigation relationship does not translate into a behavioural effect once specialty size is accounted for (Figure 2). This is a cautionary example for workforce research that pairs administrative count series, and shows why rate-based, measured-only designs are preferable when testing litigation-workforce hypotheses.</w:t>
      </w:r>
    </w:p>
    <w:p>
      <w:pPr>
        <w:spacing w:line="480" w:lineRule="auto" w:after="120"/>
      </w:pPr>
      <w:r>
        <w:rPr>
          <w:rFonts w:ascii="Times New Roman" w:hAnsi="Times New Roman"/>
          <w:b w:val="0"/>
          <w:i w:val="0"/>
          <w:sz w:val="24"/>
        </w:rPr>
        <w:t>International evidence on tort reform and physician supply is consistent with a small or context-specific effect. Matsa found that U.S. state damage caps increased the supply of frontier rural specialists by 10-12 percent, but did not affect physician supply for the average resident.</w:t>
      </w:r>
      <w:r>
        <w:rPr>
          <w:rFonts w:ascii="Times New Roman" w:hAnsi="Times New Roman"/>
          <w:vertAlign w:val="superscript"/>
        </w:rPr>
        <w:t>[16]</w:t>
      </w:r>
      <w:r>
        <w:rPr>
          <w:rFonts w:ascii="Times New Roman" w:hAnsi="Times New Roman"/>
          <w:b w:val="0"/>
          <w:i w:val="0"/>
          <w:sz w:val="24"/>
        </w:rPr>
        <w:t xml:space="preserve"> Hyman and colleagues, examining the 2003 Texas reforms, found no measurable increase in physician supply for high-malpractice-risk specialties, primary care, or rural physicians.</w:t>
      </w:r>
      <w:r>
        <w:rPr>
          <w:rFonts w:ascii="Times New Roman" w:hAnsi="Times New Roman"/>
          <w:vertAlign w:val="superscript"/>
        </w:rPr>
        <w:t>[17]</w:t>
      </w:r>
      <w:r>
        <w:rPr>
          <w:rFonts w:ascii="Times New Roman" w:hAnsi="Times New Roman"/>
          <w:b w:val="0"/>
          <w:i w:val="0"/>
          <w:sz w:val="24"/>
        </w:rPr>
        <w:t xml:space="preserve"> Frakes and colleagues showed that negligence-standard reforms could shift the composition of the physician workforce toward surgery in some regions, yet the effect was localized and modest.</w:t>
      </w:r>
      <w:r>
        <w:rPr>
          <w:rFonts w:ascii="Times New Roman" w:hAnsi="Times New Roman"/>
          <w:vertAlign w:val="superscript"/>
        </w:rPr>
        <w:t>[18]</w:t>
      </w:r>
      <w:r>
        <w:rPr>
          <w:rFonts w:ascii="Times New Roman" w:hAnsi="Times New Roman"/>
          <w:b w:val="0"/>
          <w:i w:val="0"/>
          <w:sz w:val="24"/>
        </w:rPr>
        <w:t xml:space="preserve"> Against this backdrop, a null effect of civil litigation risk on Japanese specialty supply is not surprising, especially in a system with comparatively low litigation volume and predictable damages.</w:t>
      </w:r>
    </w:p>
    <w:p>
      <w:pPr>
        <w:spacing w:line="480" w:lineRule="auto" w:after="120"/>
      </w:pPr>
      <w:r>
        <w:rPr>
          <w:rFonts w:ascii="Times New Roman" w:hAnsi="Times New Roman"/>
          <w:b w:val="0"/>
          <w:i w:val="0"/>
          <w:sz w:val="24"/>
        </w:rPr>
        <w:t>Even when litigation risk is unrelated to the number of physicians, it may shape clinical behaviour through defensive medicine. Kessler and McClellan showed that U.S. malpractice reforms reduced medical expenditures for elderly heart-disease patients without increasing mortality or complications, suggesting that defensive practice is one margin of adjustment to liability pressure.</w:t>
      </w:r>
      <w:r>
        <w:rPr>
          <w:rFonts w:ascii="Times New Roman" w:hAnsi="Times New Roman"/>
          <w:vertAlign w:val="superscript"/>
        </w:rPr>
        <w:t>[19]</w:t>
      </w:r>
      <w:r>
        <w:rPr>
          <w:rFonts w:ascii="Times New Roman" w:hAnsi="Times New Roman"/>
          <w:b w:val="0"/>
          <w:i w:val="0"/>
          <w:sz w:val="24"/>
        </w:rPr>
        <w:t xml:space="preserve"> Subsequent reassessments have debated the magnitude and robustness of this effect, but the conceptual point remains: physicians can respond to liability risk by changing how they practise rather than by exiting a specialty.</w:t>
      </w:r>
      <w:r>
        <w:rPr>
          <w:rFonts w:ascii="Times New Roman" w:hAnsi="Times New Roman"/>
          <w:vertAlign w:val="superscript"/>
        </w:rPr>
        <w:t>[20]</w:t>
      </w:r>
      <w:r>
        <w:rPr>
          <w:rFonts w:ascii="Times New Roman" w:hAnsi="Times New Roman"/>
          <w:b w:val="0"/>
          <w:i w:val="0"/>
          <w:sz w:val="24"/>
        </w:rPr>
        <w:t xml:space="preserve"> In Japan, fee-for-service reimbursement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Japan's litigation environment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w:t>
      </w:r>
      <w:r>
        <w:rPr>
          <w:rFonts w:ascii="Times New Roman" w:hAnsi="Times New Roman"/>
          <w:vertAlign w:val="superscript"/>
        </w:rPr>
        <w:t>[21]</w:t>
      </w:r>
      <w:r>
        <w:rPr>
          <w:rFonts w:ascii="Times New Roman" w:hAnsi="Times New Roman"/>
          <w:b w:val="0"/>
          <w:i w:val="0"/>
          <w:sz w:val="24"/>
        </w:rPr>
        <w:t xml:space="preserve"> The Court data we use therefore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The Japan Obstetric Compensation System for Cerebral Palsy (2009) illustrates a different mechanism. It was introduced partly because of a shortage of young obstetricians and regional gaps in maternity care, and it combined no-fault compensation with investigation and prevention.</w:t>
      </w:r>
      <w:r>
        <w:rPr>
          <w:rFonts w:ascii="Times New Roman" w:hAnsi="Times New Roman"/>
          <w:vertAlign w:val="superscript"/>
        </w:rPr>
        <w:t>[22]</w:t>
      </w:r>
      <w:r>
        <w:rPr>
          <w:rFonts w:ascii="Times New Roman" w:hAnsi="Times New Roman"/>
          <w:b w:val="0"/>
          <w:i w:val="0"/>
          <w:sz w:val="24"/>
        </w:rPr>
        <w:t xml:space="preserve"> The hospital-level JOCS-CP indicator was directionally positive (coefficient +0.024, raw p=0.013), but it did not remain significant after the small-cluster correction and Holm adjustment for the exploratory sensitivity family (Holm p=0.119). This suggests that, if the JOCS-CP did support obstetric hospital supply, the effect would be too small or too confounded by concurrent obstetric policies to be isolated here. Civil litigation exposure is also distinct from criminal prosecution. Morita studied the 2004 Fukushima obstetrician prosecution and found a 13 percent decline in obstetricians, with some switching to gynaecology.</w:t>
      </w:r>
      <w:r>
        <w:rPr>
          <w:rFonts w:ascii="Times New Roman" w:hAnsi="Times New Roman"/>
          <w:vertAlign w:val="superscript"/>
        </w:rPr>
        <w:t>[23]</w:t>
      </w:r>
      <w:r>
        <w:rPr>
          <w:rFonts w:ascii="Times New Roman" w:hAnsi="Times New Roman"/>
          <w:b w:val="0"/>
          <w:i w:val="0"/>
          <w:sz w:val="24"/>
        </w:rPr>
        <w:t xml:space="preserve">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comparison of Japanese and U.S. medical-legal claims in obstetrics and gynaecology (OB/GYN) found that the proportion of malpractice claims in this specialty fell from 15.1 percent in 2004 to 5.2 percent in 2022, and that claims per 100 OB/GYN physicians fell from 0.9 in 2007 to 0.4 in 2016, while maternal and neonatal mortality also declined.</w:t>
      </w:r>
      <w:r>
        <w:rPr>
          <w:rFonts w:ascii="Times New Roman" w:hAnsi="Times New Roman"/>
          <w:vertAlign w:val="superscript"/>
        </w:rPr>
        <w:t>[24]</w:t>
      </w:r>
      <w:r>
        <w:rPr>
          <w:rFonts w:ascii="Times New Roman" w:hAnsi="Times New Roman"/>
          <w:b w:val="0"/>
          <w:i w:val="0"/>
          <w:sz w:val="24"/>
        </w:rPr>
        <w:t xml:space="preserve">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w:t>
      </w:r>
      <w:r>
        <w:rPr>
          <w:rFonts w:ascii="Times New Roman" w:hAnsi="Times New Roman"/>
          <w:vertAlign w:val="superscript"/>
        </w:rPr>
        <w:t>[25]</w:t>
      </w:r>
      <w:r>
        <w:rPr>
          <w:rFonts w:ascii="Times New Roman" w:hAnsi="Times New Roman"/>
          <w:b w:val="0"/>
          <w:i w:val="0"/>
          <w:sz w:val="24"/>
        </w:rPr>
        <w:t xml:space="preserve">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What do these findings imply for policy? Reducing civil malpractice litigation is unlikely to be a powerful lever for correcting specialty maldistribution in Japan. Structural incentives are more promising: no-fault compensation can de-risk high-acuity specialties, and payment design can reward service in underserved settings and activities. The JOCS-CP experience supports the former; Japan's fee-for-service schedule and rural/urban payment adjustments illustrate the latter. Malpractice reform may still matter for defensive medicine, patient compensation, and provider-patient trust. But our evidence does not support the claim, at least from these data, that lowering litigation risk will retain physicians in high-risk specialties. Policymakers should therefore target structural incentives before relying on litigation-avoidance messaging.</w:t>
      </w:r>
    </w:p>
    <w:p>
      <w:pPr>
        <w:spacing w:line="480" w:lineRule="auto" w:after="120"/>
      </w:pPr>
      <w:r>
        <w:rPr>
          <w:rFonts w:ascii="Times New Roman" w:hAnsi="Times New Roman"/>
          <w:b w:val="0"/>
          <w:i w:val="0"/>
          <w:sz w:val="24"/>
        </w:rPr>
        <w:t>International experience with no-fault compensation is consistent with this policy orientation. New Zealand replaced tort-based medical-injury compensation with a government-funded no-fault scheme in 1974 and, after 2005 reforms, extended coverage to all treatment injuries; this separated compensation from negligence findings and largely barred malpractice litigation.</w:t>
      </w:r>
      <w:r>
        <w:rPr>
          <w:rFonts w:ascii="Times New Roman" w:hAnsi="Times New Roman"/>
          <w:vertAlign w:val="superscript"/>
        </w:rPr>
        <w:t>[26]</w:t>
      </w:r>
      <w:r>
        <w:rPr>
          <w:rFonts w:ascii="Times New Roman" w:hAnsi="Times New Roman"/>
          <w:b w:val="0"/>
          <w:i w:val="0"/>
          <w:sz w:val="24"/>
        </w:rPr>
        <w:t xml:space="preserve"> Sweden and Denmark operate similar administrative systems in which neutral experts evaluate claims without requiring proof of provider fault, improving injured patients' access to redress while controlling liability costs and generating patient-safety learning.</w:t>
      </w:r>
      <w:r>
        <w:rPr>
          <w:rFonts w:ascii="Times New Roman" w:hAnsi="Times New Roman"/>
          <w:vertAlign w:val="superscript"/>
        </w:rPr>
        <w:t>[27]</w:t>
      </w:r>
      <w:r>
        <w:rPr>
          <w:rFonts w:ascii="Times New Roman" w:hAnsi="Times New Roman"/>
          <w:b w:val="0"/>
          <w:i w:val="0"/>
          <w:sz w:val="24"/>
        </w:rPr>
        <w:t xml:space="preserve"> The JOCS-CP is narrower in scope—it covers only obstetric cerebral palsy—but it moves in the same direction: it provides compensation and cause analysis without a protracted adversarial process. Extending such an approach more broadly would be a structural alternative to repeated calls to reduce malpractice litigation as a workforce strategy.</w:t>
      </w:r>
    </w:p>
    <w:p>
      <w:pPr>
        <w:spacing w:line="480" w:lineRule="auto" w:after="120"/>
      </w:pPr>
      <w:r>
        <w:rPr>
          <w:rFonts w:ascii="Times New Roman" w:hAnsi="Times New Roman"/>
          <w:b w:val="0"/>
          <w:i w:val="0"/>
          <w:sz w:val="24"/>
        </w:rPr>
        <w:t>Several questions remain for future research. We cannot observe individual physicians' risk perceptions, career intentions, or responses to media coverage of high-profile cases. The closed-claim rate is an objective exposure measure, but it may not capture the perceived risk that drives specialty choice, especially when criminal prosecutions or sensational media coverage shape beliefs. Helland and Seabury's review concludes that tort reform effects on physician supply are heterogeneous across states and specialties, and that more granular, state-specific designs are needed to settle the question in the U.S. context.</w:t>
      </w:r>
      <w:r>
        <w:rPr>
          <w:rFonts w:ascii="Times New Roman" w:hAnsi="Times New Roman"/>
          <w:vertAlign w:val="superscript"/>
        </w:rPr>
        <w:t>[28]</w:t>
      </w:r>
      <w:r>
        <w:rPr>
          <w:rFonts w:ascii="Times New Roman" w:hAnsi="Times New Roman"/>
          <w:b w:val="0"/>
          <w:i w:val="0"/>
          <w:sz w:val="24"/>
        </w:rPr>
        <w:t xml:space="preserve"> Applying similar logic in Japan would require individual-level or prefecture-level career data linked to local litigation, media, and reimbursement environments. Until then, the present specialty-level rate analysis provides the most systematic evidence available on the central policy question: whether malpractice litigation risk drives physicians away from high-risk specialties. The answer, in these data, is no—or at least not in a way that is detectable or policy-relevant across 9 measured waves (2008–2024).</w:t>
      </w:r>
    </w:p>
    <w:p>
      <w:pPr>
        <w:spacing w:line="480" w:lineRule="auto" w:after="120"/>
      </w:pPr>
      <w:r>
        <w:rPr>
          <w:rFonts w:ascii="Times New Roman" w:hAnsi="Times New Roman"/>
          <w:b w:val="0"/>
          <w:i w:val="0"/>
          <w:sz w:val="24"/>
        </w:rPr>
        <w:t>The framework we used is intentionally general. Specialty physician workforce allocation is a recurring healthcare decision problem, and the same sensitivity-analysis steps—rate adjustment to remove size confounding, measured-only panels to avoid interpolation, equivalence testing with policy-relevant margins, and small-cluster inference—can be applied to other proposed levers, such as fee schedules, regional quotas, or training subsidies. The analytic contribution is therefore not the malpractice finding itself but a transparent, reproducible workflow that helps decision-makers distinguish meaningful workforce effects from spurious count- or interpolation-based associations.</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speak to individual career decisions. The physician census is biennial, giving 9 measured waves; we addressed the limited power directly through equivalence testing and by pooling across specialties, but residual power constraints remain and the equivalence margins are a judgement. Because clusters are defined by the 12 specialties, the small-cluster correction uses G-1=11 degrees of freedom; this is the minimum at which cluster-robust t inference is recommended and is inherent to the data. Specialty-specific litigation counts could be recovered only from 2008; pre-2008 specialty tables were not retrievable from primary sources. Clinic counts by specialty are published only every 3 years and were used descriptively. JMSR report counts are available only from 2015 and were used in a 2016-2024 sensitivity. Media article counts are available only for 2009-2018 and are a national total, so they cannot be decomposed by specialty and are collinear with full wave fixed effects. Litigation counts are assigned to a principal specialty and, by the Court's own note, do not measure intrinsic specialty risk.</w:t>
      </w:r>
      <w:r>
        <w:rPr>
          <w:rFonts w:ascii="Times New Roman" w:hAnsi="Times New Roman"/>
          <w:vertAlign w:val="superscript"/>
        </w:rPr>
        <w:t>[9]</w:t>
      </w:r>
      <w:r>
        <w:rPr>
          <w:rFonts w:ascii="Times New Roman" w:hAnsi="Times New Roman"/>
          <w:b w:val="0"/>
          <w:i w:val="0"/>
          <w:sz w:val="24"/>
        </w:rPr>
        <w:t xml:space="preserve"> Finally, these findings are embedded in Japan's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in Japan was not associated with physician or hospital decline in these data, and the physician effect was statistically equivalent to null within a small margin. Policies to counter specialty maldistribution may more productively target structural incentives, especially no-fault compensation, rather than on the assumption that reducing litigation will retain physicians in high-risk specialties.</w:t>
      </w:r>
    </w:p>
    <w:p>
      <w:pPr>
        <w:pStyle w:val="Heading1"/>
      </w:pPr>
      <w:r>
        <w:rPr>
          <w:rFonts w:ascii="Times New Roman" w:hAnsi="Times New Roman"/>
          <w:color w:val="000000"/>
        </w:rPr>
        <w:t>Declaration of generative AI use</w:t>
      </w:r>
    </w:p>
    <w:p>
      <w:pPr>
        <w:spacing w:line="480" w:lineRule="auto" w:after="120"/>
      </w:pPr>
      <w:r>
        <w:rPr>
          <w:rFonts w:ascii="Times New Roman" w:hAnsi="Times New Roman"/>
          <w:b w:val="0"/>
          <w:i w:val="0"/>
          <w:sz w:val="24"/>
        </w:rPr>
        <w:t>[Authors: insert the Elsevier AI declaration here before submission. Example wording: During the preparation of this work the author(s) used [TOOL NAME] in order to [PURPOSE]. After using this tool/service, the author(s) reviewed and edited the content as needed and take(s) full responsibility for the content of the publication. If no generative AI was used, state so.]</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Funding: none. Competing interests: none declared. Ethics approval: this study used publicly available aggregated national statistics and did not involve human subjects, identifiable data or patient records; no ethics approval was required. Data and code availability: all primary data files, extraction scripts and analysis code are openly available in the project repository (https://github.com/bougtoir/medical-accident-its-analysis), enabling full reproduction of every reported number.</w:t>
      </w:r>
    </w:p>
    <w:p>
      <w:pPr>
        <w:pStyle w:val="Heading1"/>
      </w:pPr>
      <w:r>
        <w:rPr>
          <w:rFonts w:ascii="Times New Roman" w:hAnsi="Times New Roman"/>
          <w:color w:val="000000"/>
        </w:rPr>
        <w:t>References</w:t>
      </w:r>
    </w:p>
    <w:p>
      <w:pPr>
        <w:spacing w:line="360" w:lineRule="auto"/>
      </w:pPr>
      <w:r>
        <w:rPr>
          <w:rFonts w:ascii="Times New Roman" w:hAnsi="Times New Roman"/>
          <w:sz w:val="20"/>
        </w:rPr>
        <w:t>1. Yamaguchi S, et al. Regional and specialty maldistribution of physicians in Japan. J Epidemiol. 2020;30(1):1-8.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et al. Defensive medicine and malpractice concern in Japan. J Clin Gastroenterol. 2006;40(9):779-780.</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 2024. Available from: https://www.mhlw.go.jp/english/database/db-hw/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 2024.</w:t>
      </w:r>
    </w:p>
    <w:p>
      <w:pPr>
        <w:spacing w:line="360" w:lineRule="auto"/>
      </w:pPr>
      <w:r>
        <w:rPr>
          <w:rFonts w:ascii="Times New Roman" w:hAnsi="Times New Roman"/>
          <w:sz w:val="20"/>
        </w:rPr>
        <w:t>10. Ministry of Health, Labour and Welfare. Survey of Medical Institutions (Dynamic). Tokyo: MHLW; 2024. Available from: https://www.mhlw.go.jp/english/database/db-hw/</w:t>
      </w:r>
    </w:p>
    <w:p>
      <w:pPr>
        <w:spacing w:line="360" w:lineRule="auto"/>
      </w:pPr>
      <w:r>
        <w:rPr>
          <w:rFonts w:ascii="Times New Roman" w:hAnsi="Times New Roman"/>
          <w:sz w:val="20"/>
        </w:rPr>
        <w:t>11. Japan Medical Safety Research Organisation. Annual reports of medical accident investigations (2015-2024). Tokyo: JMSR; 2025.</w:t>
      </w:r>
    </w:p>
    <w:p>
      <w:pPr>
        <w:spacing w:line="360" w:lineRule="auto"/>
      </w:pPr>
      <w:r>
        <w:rPr>
          <w:rFonts w:ascii="Times New Roman" w:hAnsi="Times New Roman"/>
          <w:sz w:val="20"/>
        </w:rPr>
        <w:t>12. Nikkei Inc. Nikkei Telecom 21. Tokyo: Nikkei Inc. Accessed 2024. Available from: https://telecom21.nikkei.co.jp/.</w:t>
      </w:r>
    </w:p>
    <w:p>
      <w:pPr>
        <w:spacing w:line="360" w:lineRule="auto"/>
      </w:pPr>
      <w:r>
        <w:rPr>
          <w:rFonts w:ascii="Times New Roman" w:hAnsi="Times New Roman"/>
          <w:sz w:val="20"/>
        </w:rPr>
        <w:t>13. Act on the Promotion of Medical Safety; Medical Accident Investigation System (2015). Tokyo: MHLW; 2015.</w:t>
      </w:r>
    </w:p>
    <w:p>
      <w:pPr>
        <w:spacing w:line="360" w:lineRule="auto"/>
      </w:pPr>
      <w:r>
        <w:rPr>
          <w:rFonts w:ascii="Times New Roman" w:hAnsi="Times New Roman"/>
          <w:sz w:val="20"/>
        </w:rPr>
        <w:t>14. Angrist JD, Pischke JS. Mostly Harmless Econometrics. Princeton: Princeton University Press; 2009.</w:t>
      </w:r>
    </w:p>
    <w:p>
      <w:pPr>
        <w:spacing w:line="360" w:lineRule="auto"/>
      </w:pPr>
      <w:r>
        <w:rPr>
          <w:rFonts w:ascii="Times New Roman" w:hAnsi="Times New Roman"/>
          <w:sz w:val="20"/>
        </w:rPr>
        <w:t>15. Cameron AC, Miller DL. A practitioner's guide to cluster-robust inference. J Hum Resour. 2015;50(2):317-372.</w:t>
      </w:r>
    </w:p>
    <w:p>
      <w:pPr>
        <w:spacing w:line="360" w:lineRule="auto"/>
      </w:pPr>
      <w:r>
        <w:rPr>
          <w:rFonts w:ascii="Times New Roman" w:hAnsi="Times New Roman"/>
          <w:sz w:val="20"/>
        </w:rPr>
        <w:t>16. Matsa DA. Does malpractice liability keep the doctor away? Evidence from tort reform damage caps. J Legal Stud. 2007;36(S2):S143-S182.</w:t>
      </w:r>
    </w:p>
    <w:p>
      <w:pPr>
        <w:spacing w:line="360" w:lineRule="auto"/>
      </w:pPr>
      <w:r>
        <w:rPr>
          <w:rFonts w:ascii="Times New Roman" w:hAnsi="Times New Roman"/>
          <w:sz w:val="20"/>
        </w:rPr>
        <w:t>17. Hyman DA, Silver C, Black B, Paik M. Does tort reform affect physician supply? Evidence from Texas. Int Rev Law Econ. 2015;42:203-218.</w:t>
      </w:r>
    </w:p>
    <w:p>
      <w:pPr>
        <w:spacing w:line="360" w:lineRule="auto"/>
      </w:pPr>
      <w:r>
        <w:rPr>
          <w:rFonts w:ascii="Times New Roman" w:hAnsi="Times New Roman"/>
          <w:sz w:val="20"/>
        </w:rPr>
        <w:t>18. Frakes MD, Frank MB, Seabury SA. The effect of malpractice law on physician supply: Evidence from negligence-standard reforms. J Health Econ. 2020;70:1-16.</w:t>
      </w:r>
    </w:p>
    <w:p>
      <w:pPr>
        <w:spacing w:line="360" w:lineRule="auto"/>
      </w:pPr>
      <w:r>
        <w:rPr>
          <w:rFonts w:ascii="Times New Roman" w:hAnsi="Times New Roman"/>
          <w:sz w:val="20"/>
        </w:rPr>
        <w:t>19. Kessler DP, McClellan MB. Do doctors practice defensive medicine?. Q J Econ. 1996;111(2):353-390.</w:t>
      </w:r>
    </w:p>
    <w:p>
      <w:pPr>
        <w:spacing w:line="360" w:lineRule="auto"/>
      </w:pPr>
      <w:r>
        <w:rPr>
          <w:rFonts w:ascii="Times New Roman" w:hAnsi="Times New Roman"/>
          <w:sz w:val="20"/>
        </w:rPr>
        <w:t>20. Sloan FA, Shadle JH. Is there empirical evidence for "Defensive Medicine"? A reassessment. J Health Econ. 2008;27(2):481-491.</w:t>
      </w:r>
    </w:p>
    <w:p>
      <w:pPr>
        <w:spacing w:line="360" w:lineRule="auto"/>
      </w:pPr>
      <w:r>
        <w:rPr>
          <w:rFonts w:ascii="Times New Roman" w:hAnsi="Times New Roman"/>
          <w:sz w:val="20"/>
        </w:rPr>
        <w:t>21. Taniguchi K, Watari T, Nagoshi K. Characteristics and trends of medical malpractice claims in Japan between 2006 and 2021. PLoS One. 2023;18(12):e0296155.</w:t>
      </w:r>
    </w:p>
    <w:p>
      <w:pPr>
        <w:spacing w:line="360" w:lineRule="auto"/>
      </w:pPr>
      <w:r>
        <w:rPr>
          <w:rFonts w:ascii="Times New Roman" w:hAnsi="Times New Roman"/>
          <w:sz w:val="20"/>
        </w:rPr>
        <w:t>22.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23. Morita H. Criminal prosecution and physician supply. Int Rev Law Econ. 2018;55:1-11.</w:t>
      </w:r>
    </w:p>
    <w:p>
      <w:pPr>
        <w:spacing w:line="360" w:lineRule="auto"/>
      </w:pPr>
      <w:r>
        <w:rPr>
          <w:rFonts w:ascii="Times New Roman" w:hAnsi="Times New Roman"/>
          <w:sz w:val="20"/>
        </w:rPr>
        <w:t>24. Kamijo K, Wada Y, Ishida K, Warsof SL, Saade G, Kawakita T. Medical-legal claims in obstetrics and gynecology: Japan versus the United States. J Healthc Risk Manag. 2025;44(4):5-11. doi:10.1002/jhrm.70001.</w:t>
      </w:r>
    </w:p>
    <w:p>
      <w:pPr>
        <w:spacing w:line="360" w:lineRule="auto"/>
      </w:pPr>
      <w:r>
        <w:rPr>
          <w:rFonts w:ascii="Times New Roman" w:hAnsi="Times New Roman"/>
          <w:sz w:val="20"/>
        </w:rPr>
        <w:t>25.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26.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27. Mello MM, Kachalia A, Studdert DM. Administrative compensation for medical injuries: lessons from three foreign systems. New York: The Commonwealth Fund; 2011.</w:t>
      </w:r>
    </w:p>
    <w:p>
      <w:pPr>
        <w:spacing w:line="360" w:lineRule="auto"/>
      </w:pPr>
      <w:r>
        <w:rPr>
          <w:rFonts w:ascii="Times New Roman" w:hAnsi="Times New Roman"/>
          <w:sz w:val="20"/>
        </w:rPr>
        <w:t>28. Helland E, Seabury SA. Tort reform and physician labor supply: a review of the evidence. Int Rev Law Econ. 2015;42:192-202.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