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 in Japan, 2008–2024: a sensitivity-analysis framework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3457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