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r>
        <w:rPr>
          <w:b w:val="0"/>
          <w:i w:val="0"/>
        </w:rPr>
        <w:t>図1に、本研究で統合する3つの相補的アプローチの概念的概観を示す。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 (2) と (3)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jc w:val="center"/>
      </w:pPr>
      <w:r>
        <w:drawing>
          <wp:inline xmlns:a="http://schemas.openxmlformats.org/drawingml/2006/main" xmlns:pic="http://schemas.openxmlformats.org/drawingml/2006/picture">
            <wp:extent cx="5029200" cy="2859351"/>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859351"/>
                    </a:xfrm>
                    <a:prstGeom prst="rect"/>
                  </pic:spPr>
                </pic:pic>
              </a:graphicData>
            </a:graphic>
          </wp:inline>
        </w:drawing>
      </w:r>
    </w:p>
    <w:p>
      <w:pPr>
        <w:spacing w:before="120" w:after="240"/>
        <w:jc w:val="center"/>
      </w:pPr>
      <w:r>
        <w:rPr>
          <w:i/>
          <w:sz w:val="18"/>
        </w:rPr>
        <w:t>図5: Directional Predictability Index (DPI) のアーキテクチャ。3つの独立な非対称統計量（回帰係数非対称性 Â_reg、ANM残差独立性 Â_ANM、条件付きエントロピー削減 Â_ent）を正規化・平均し、対称相関 |ρ̂_{ij}| を非対称DPIスコアに変調する。モジュラー設計により各成分を独立に拡張可能。</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jc w:val="center"/>
      </w:pPr>
      <w:r>
        <w:drawing>
          <wp:inline xmlns:a="http://schemas.openxmlformats.org/drawingml/2006/main" xmlns:pic="http://schemas.openxmlformats.org/drawingml/2006/picture">
            <wp:extent cx="5029200" cy="4176901"/>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5029200" cy="4176901"/>
                    </a:xfrm>
                    <a:prstGeom prst="rect"/>
                  </pic:spPr>
                </pic:pic>
              </a:graphicData>
            </a:graphic>
          </wp:inline>
        </w:drawing>
      </w:r>
    </w:p>
    <w:p>
      <w:pPr>
        <w:spacing w:before="120" w:after="240"/>
        <w:jc w:val="center"/>
      </w:pPr>
      <w:r>
        <w:rPr>
          <w:i/>
          <w:sz w:val="18"/>
        </w:rPr>
        <w:t>図6: 複素因果指標 CCI(i,j) の複素平面プロット。実軸 (SCC) は結合強度、虚軸 (SCD) は因果方向を表す。赤点は順方向 (i→j)、青点は逆方向を示す。大多数のペアが下半平面に集中し、Ageの上流ルートノードとしての優位性を反映。</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(図4)。</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図4: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図7: 知識品質の相転移（定理8.2）。辺方向反転率 p_flip の増加に伴い、勾配エネルギー比 r_gradient はU字カーブを描く。理論予測 (1-2p)^2 r*（赤破線）は全非対称性の反転を仮定。実験値（青、200試行、α=0.6）はDPIデータ駆動成分（40%重み）が不変のため乖離し、p=0.5でもr_gradientはゼロに達しない。臨界閾値 p*_flip ≈ 0.15 以下でDAG構造が維持される。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をカバーし、ECDアンサンブルは両方を統合してほぼ完全なカバレッジを達成する。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