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pPr>
      <w:r>
        <w:rPr>
          <w:rFonts w:ascii="Times New Roman" w:hAnsi="Times New Roman" w:eastAsia="MS Mincho"/>
          <w:b/>
          <w:i w:val="0"/>
          <w:sz w:val="32"/>
        </w:rPr>
        <w:t>What the Solow Residual Has Been Hiding: Tempo Drift and the Missing Intangible Share in National Capital Stocks</w:t>
      </w:r>
    </w:p>
    <w:p>
      <w:pPr>
        <w:spacing w:after="120" w:line="36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39 OECD and middle-income economies (Penn World Table 10.01, World Bank CWON, 1995–2019), letting </w:t>
      </w:r>
      <w:r>
        <w:rPr>
          <w:rFonts w:ascii="Times New Roman" w:hAnsi="Times New Roman" w:eastAsia="MS Mincho"/>
          <w:b w:val="0"/>
          <w:i/>
          <w:sz w:val="24"/>
        </w:rPr>
        <w:t>μ</w:t>
      </w:r>
      <w:r>
        <w:rPr>
          <w:rFonts w:ascii="Times New Roman" w:hAnsi="Times New Roman" w:eastAsia="MS Mincho"/>
          <w:b w:val="0"/>
          <w:i w:val="0"/>
          <w:sz w:val="24"/>
        </w:rPr>
        <w:t xml:space="preserve"> drift and </w:t>
      </w:r>
      <w:r>
        <w:rPr>
          <w:rFonts w:ascii="Times New Roman" w:hAnsi="Times New Roman" w:eastAsia="MS Mincho"/>
          <w:b w:val="0"/>
          <w:i/>
          <w:sz w:val="24"/>
        </w:rPr>
        <w:t>β</w:t>
      </w:r>
      <w:r>
        <w:rPr>
          <w:rFonts w:ascii="Times New Roman" w:hAnsi="Times New Roman" w:eastAsia="MS Mincho"/>
          <w:b w:val="0"/>
          <w:i w:val="0"/>
          <w:sz w:val="24"/>
        </w:rPr>
        <w:t xml:space="preserve"> enter the production function jointly reduces the out-of-sample GDP-level forecast error from 4.60 % to 3.99 % — a 13 % relative improvement obtained without new data or stochastic machinery. A Solow-residual decomposition shows that up to 30 % of TFP-growth variance is attributable to tempo drift alone. Counterfactual wealth calculations indicate that official produced-capital figures understate intangible-adjusted wealth by 0.3–1.1 % for high-R&amp;D economies. These corrections reconcile production-side (flow) and wealth-side (stock) national accounts to within 1–2 % for most countries, resolving a long-standing tension in the Beyond-GDP debate.</w:t>
      </w:r>
    </w:p>
    <w:p>
      <w:pPr>
        <w:spacing w:after="120" w:line="36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36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360" w:lineRule="auto"/>
        <w:ind w:firstLine="480"/>
      </w:pPr>
      <w:r>
        <w:rPr>
          <w:rFonts w:ascii="Times New Roman" w:hAnsi="Times New Roman" w:eastAsia="MS Mincho"/>
          <w:b/>
          <w:i w:val="0"/>
          <w:sz w:val="24"/>
        </w:rPr>
        <w:t>Highlights</w:t>
      </w:r>
      <w:r>
        <w:rPr>
          <w:rFonts w:ascii="Times New Roman" w:hAnsi="Times New Roman" w:eastAsia="MS Mincho"/>
          <w:b w:val="0"/>
          <w:i w:val="0"/>
          <w:sz w:val="24"/>
        </w:rPr>
        <w:t>:</w:t>
      </w:r>
    </w:p>
    <w:p>
      <w:pPr>
        <w:spacing w:after="120" w:line="360" w:lineRule="auto"/>
        <w:ind w:left="720" w:hanging="360"/>
      </w:pPr>
      <w:r>
        <w:rPr>
          <w:rFonts w:ascii="Times New Roman" w:hAnsi="Times New Roman" w:eastAsia="MS Mincho"/>
          <w:b w:val="0"/>
          <w:i w:val="0"/>
          <w:sz w:val="24"/>
        </w:rPr>
        <w:t>•  Tempo drift in time-to-build explains up to 30 % of TFP-growth variance</w:t>
      </w:r>
    </w:p>
    <w:p>
      <w:pPr>
        <w:spacing w:after="120" w:line="360" w:lineRule="auto"/>
        <w:ind w:left="720" w:hanging="360"/>
      </w:pPr>
      <w:r>
        <w:rPr>
          <w:rFonts w:ascii="Times New Roman" w:hAnsi="Times New Roman" w:eastAsia="MS Mincho"/>
          <w:b w:val="0"/>
          <w:i w:val="0"/>
          <w:sz w:val="24"/>
        </w:rPr>
        <w:t>•  Out-of-sample GDP forecast error falls 13 % with no new data</w:t>
      </w:r>
    </w:p>
    <w:p>
      <w:pPr>
        <w:spacing w:after="120" w:line="360" w:lineRule="auto"/>
        <w:ind w:left="720" w:hanging="360"/>
      </w:pPr>
      <w:r>
        <w:rPr>
          <w:rFonts w:ascii="Times New Roman" w:hAnsi="Times New Roman" w:eastAsia="MS Mincho"/>
          <w:b w:val="0"/>
          <w:i w:val="0"/>
          <w:sz w:val="24"/>
        </w:rPr>
        <w:t>•  Flow and stock national accounts reconcile to 1–2 % after correction</w:t>
      </w:r>
    </w:p>
    <w:p>
      <w:pPr>
        <w:spacing w:after="120" w:line="360" w:lineRule="auto"/>
        <w:ind w:left="720" w:hanging="360"/>
      </w:pPr>
      <w:r>
        <w:rPr>
          <w:rFonts w:ascii="Times New Roman" w:hAnsi="Times New Roman" w:eastAsia="MS Mincho"/>
          <w:b w:val="0"/>
          <w:i w:val="0"/>
          <w:sz w:val="24"/>
        </w:rPr>
        <w:t>•  Official wealth understates intangible capital by 0.3–1.1 % in R&amp;D economies</w:t>
      </w:r>
    </w:p>
    <w:p>
      <w:pPr>
        <w:spacing w:after="120" w:line="360" w:lineRule="auto"/>
        <w:ind w:left="720" w:hanging="360"/>
      </w:pPr>
      <w:r>
        <w:rPr>
          <w:rFonts w:ascii="Times New Roman" w:hAnsi="Times New Roman" w:eastAsia="MS Mincho"/>
          <w:b w:val="0"/>
          <w:i w:val="0"/>
          <w:sz w:val="24"/>
        </w:rPr>
        <w:t>•  Demographic tempo framework transplanted to capital accounting</w:t>
      </w:r>
    </w:p>
    <w:p>
      <w:pPr>
        <w:spacing w:before="360" w:after="120" w:line="360" w:lineRule="auto"/>
      </w:pPr>
      <w:r>
        <w:rPr>
          <w:rFonts w:ascii="Times New Roman" w:hAnsi="Times New Roman" w:eastAsia="MS Mincho"/>
          <w:b/>
          <w:i w:val="0"/>
          <w:sz w:val="28"/>
        </w:rPr>
        <w:t>1 Introduction</w:t>
      </w:r>
    </w:p>
    <w:p>
      <w:pPr>
        <w:spacing w:after="120" w:line="360" w:lineRule="auto"/>
        <w:ind w:firstLine="480"/>
      </w:pPr>
      <w:r>
        <w:rPr>
          <w:rFonts w:ascii="Times New Roman" w:hAnsi="Times New Roman" w:eastAsia="MS Mincho"/>
          <w:b w:val="0"/>
          <w:i w:val="0"/>
          <w:sz w:val="24"/>
        </w:rPr>
        <w:t>Growth accounting since Solow (1957) has relied on a residual — total factor productivity (TFP) — as the catch-all for output variation that measured inputs fail to explain. Half a century of refinements — sector-specific capital, human capital, utilisation adjustments — has shrunk this residual somewhat, yet it still absorbs a substantial, poorly understood component of macroeconomic fluctuations. For policymakers calibrating fiscal multipliers, central banks assessing potential output, and statistical agencies constructing national accounts, the Solow residual is simultaneously indispensable and opaque: indispensable because every macroeconomic forecast embeds it, opaque because no one knows how much of it is genuine innovation and how much is measurement error.</w:t>
      </w:r>
    </w:p>
    <w:p>
      <w:pPr>
        <w:spacing w:after="120" w:line="360" w:lineRule="auto"/>
        <w:ind w:firstLine="480"/>
      </w:pPr>
      <w:r>
        <w:rPr>
          <w:rFonts w:ascii="Times New Roman" w:hAnsi="Times New Roman" w:eastAsia="MS Mincho"/>
          <w:b w:val="0"/>
          <w:i w:val="0"/>
          <w:sz w:val="24"/>
        </w:rPr>
        <w:t xml:space="preserve">This paper identifies a specific, quantifiable source of that measurement error. Two parameters that conventional growth accounting imposes at zero — the time-varying investment-to-output lag </w:t>
      </w:r>
      <w:r>
        <w:rPr>
          <w:rFonts w:ascii="Times New Roman" w:hAnsi="Times New Roman" w:eastAsia="MS Mincho"/>
          <w:b w:val="0"/>
          <w:i/>
          <w:sz w:val="24"/>
        </w:rPr>
        <w:t>μ</w:t>
      </w:r>
      <w:r>
        <w:rPr>
          <w:rFonts w:ascii="Times New Roman" w:hAnsi="Times New Roman" w:eastAsia="MS Mincho"/>
          <w:b w:val="0"/>
          <w:i w:val="0"/>
          <w:sz w:val="24"/>
        </w:rPr>
        <w:t xml:space="preserve">(t) and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 jointly account for a measurable share of what has been labelled TFP. The core insight is novel: while time-to-build has been studied since Kydland and Prescott (1982), all prior work treats the lag as fixed across decades.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A time-to-build that was appropriate in 1970 systematically mis-times the capital stock in 2019.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perpetual inventory method (PIM) capital stock is mis-timed and the Solow residual absorbs the error. The second parameter, </w:t>
      </w:r>
      <w:r>
        <w:rPr>
          <w:rFonts w:ascii="Times New Roman" w:hAnsi="Times New Roman" w:eastAsia="MS Mincho"/>
          <w:b w:val="0"/>
          <w:i/>
          <w:sz w:val="24"/>
        </w:rPr>
        <w:t>β</w:t>
      </w:r>
      <w:r>
        <w:rPr>
          <w:rFonts w:ascii="Times New Roman" w:hAnsi="Times New Roman" w:eastAsia="MS Mincho"/>
          <w:b w:val="0"/>
          <w:i w:val="0"/>
          <w:sz w:val="24"/>
        </w:rPr>
        <w:t xml:space="preserve">, captures intangible capital that Corrado, Hulten, and Sichel (2005, 2009) have shown is quantitatively large yet that official wealth accounts — including the World Bank Changing Wealth of Nations (CWON; Lange, Wodon, and Carey, 2018) — still exclude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360" w:lineRule="auto"/>
        <w:ind w:firstLine="480"/>
      </w:pPr>
      <w:r>
        <w:rPr>
          <w:rFonts w:ascii="Times New Roman" w:hAnsi="Times New Roman" w:eastAsia="MS Mincho"/>
          <w:b w:val="0"/>
          <w:i w:val="0"/>
          <w:sz w:val="24"/>
        </w:rPr>
        <w:t xml:space="preserve">The identification strategy exploits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Under a precise change of variables, the same mathematics applies to capital accounting (Table 1):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 The tempo adjustment was itself a neglected insight within demography for decades — dormant from the 1970s until Bongaarts and Feeney revived it in 1998, with a further five years before Goldstein, Lutz, and Scherbov supplied the missing variance parameter. If a timing correction that had been under demographers' noses for a generation proved transformative once rediscovered, it would be surprising if the identical correction — applied for the first time to the vastly larger domain of capital accounting and GDP measurement — carried no new empirical content.</w:t>
      </w:r>
    </w:p>
    <w:p>
      <w:pPr>
        <w:spacing w:after="120" w:line="360" w:lineRule="auto"/>
        <w:ind w:firstLine="480"/>
      </w:pPr>
      <w:r>
        <w:rPr>
          <w:rFonts w:ascii="Times New Roman" w:hAnsi="Times New Roman" w:eastAsia="MS Mincho"/>
          <w:b w:val="0"/>
          <w:i w:val="0"/>
          <w:sz w:val="24"/>
        </w:rPr>
        <w:t xml:space="preserve">The macroeconomic stakes are concrete. Jointly estimating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across 39 OECD and middle-income economies (Penn World Table 10.01, World Bank CWON, 1995–2019) reduces the out-of-sample GDP-level forecast error from 4.60 % to 3.99 % — a 13 % relative improvement that, for a USD 5 trillion economy, closes a USD 30 billion annual forecast gap without new data or stochastic machinery. A Solow-residual decomposition reveals that tempo drift alone accounts for up to 30 % of TFP-growth variance in some countries — variance that has been misread as innovation shocks in DSGE models calibrated to the conventional residual (Smets and Wouters, 2007). Counterfactual wealth calculations show that official produced-capital figures understate intangible-adjusted wealth by 0.3–1.1 % in high-R&amp;D economies. Most importantly, the joint corrections reconcile production-side (flow) and wealth-side (stock) national accounts to within 1–2 % for most countries — to our knowledge the first empirical success of the "unified national-wealth accounting" programme that Stiglitz, Sen, and Fitoussi (2009) called for.</w:t>
      </w:r>
    </w:p>
    <w:p>
      <w:pPr>
        <w:spacing w:after="120" w:line="360" w:lineRule="auto"/>
        <w:ind w:firstLine="480"/>
      </w:pPr>
      <w:r>
        <w:rPr>
          <w:rFonts w:ascii="Times New Roman" w:hAnsi="Times New Roman" w:eastAsia="MS Mincho"/>
          <w:b w:val="0"/>
          <w:i w:val="0"/>
          <w:sz w:val="24"/>
        </w:rPr>
        <w:t xml:space="preserve">Three implications for macroeconomic analysis follow directly. First, potential-output estimates that feed into fiscal-policy rules and output-gap calculations inherit the tempo bias: if capital is systematically mis-timed, the output gap is mis-measured, and the fiscal stance calibrated to it is correspondingly distorted. Second, the time-varying lag </w:t>
      </w:r>
      <w:r>
        <w:rPr>
          <w:rFonts w:ascii="Times New Roman" w:hAnsi="Times New Roman" w:eastAsia="MS Mincho"/>
          <w:b w:val="0"/>
          <w:i/>
          <w:sz w:val="24"/>
        </w:rPr>
        <w:t>μ</w:t>
      </w:r>
      <w:r>
        <w:rPr>
          <w:rFonts w:ascii="Times New Roman" w:hAnsi="Times New Roman" w:eastAsia="MS Mincho"/>
          <w:b w:val="0"/>
          <w:i w:val="0"/>
          <w:sz w:val="24"/>
        </w:rPr>
        <w:t>(t) provides a structural interpretation for the well-documented lengthening of monetary-policy transmission lags (Havranek and Rusnak, 2013): as the typical investment project takes longer to mature, the real-economy response to interest-rate changes is delayed by the same mechanism that this paper formalises. Third,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suggesting that one-size-fits-all depreciation schedules in the System of National Accounts (SNA) are a measurable source of international GDP comparability problems.</w:t>
      </w:r>
    </w:p>
    <w:p>
      <w:pPr>
        <w:spacing w:after="120" w:line="360" w:lineRule="auto"/>
        <w:ind w:firstLine="480"/>
      </w:pPr>
      <w:r>
        <w:rPr>
          <w:rFonts w:ascii="Times New Roman" w:hAnsi="Times New Roman" w:eastAsia="MS Mincho"/>
          <w:b w:val="0"/>
          <w:i w:val="0"/>
          <w:sz w:val="24"/>
        </w:rPr>
        <w:t>The remainder of the paper proceeds as follows. Section 2 reviews the capital-accounting, intangibles, and tempo-demography literatures. Section 3 develops the theory. Section 4 describes the data and methods and defines five models M0–M4 of increasing generality. Section 5 reports results, including the Solow-residual decomposition and counterfactual wealth simulation. Section 6 discusses policy implications. Section 7 concludes.</w:t>
      </w:r>
    </w:p>
    <w:p>
      <w:pPr>
        <w:spacing w:before="360" w:after="120" w:line="360" w:lineRule="auto"/>
      </w:pPr>
      <w:r>
        <w:rPr>
          <w:rFonts w:ascii="Times New Roman" w:hAnsi="Times New Roman" w:eastAsia="MS Mincho"/>
          <w:b/>
          <w:i w:val="0"/>
          <w:sz w:val="28"/>
        </w:rPr>
        <w:t>2 Related literature</w:t>
      </w:r>
    </w:p>
    <w:p>
      <w:pPr>
        <w:spacing w:after="120" w:line="36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36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2022).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McGrattan and Prescott (2010)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 4.</w:t>
      </w:r>
    </w:p>
    <w:p>
      <w:pPr>
        <w:spacing w:after="120" w:line="36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36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36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36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360" w:lineRule="auto"/>
      </w:pPr>
      <w:r>
        <w:rPr>
          <w:rFonts w:ascii="Times New Roman" w:hAnsi="Times New Roman" w:eastAsia="MS Mincho"/>
          <w:b/>
          <w:i w:val="0"/>
          <w:sz w:val="28"/>
        </w:rPr>
        <w:t>3 Theory</w:t>
      </w:r>
    </w:p>
    <w:p>
      <w:pPr>
        <w:spacing w:before="360" w:after="120" w:line="360" w:lineRule="auto"/>
      </w:pPr>
      <w:r>
        <w:rPr>
          <w:rFonts w:ascii="Times New Roman" w:hAnsi="Times New Roman" w:eastAsia="MS Mincho"/>
          <w:b/>
          <w:i w:val="0"/>
          <w:sz w:val="24"/>
        </w:rPr>
        <w:t>3.1 Flow-side production function with tempo</w:t>
      </w:r>
    </w:p>
    <w:p>
      <w:pPr>
        <w:spacing w:after="120" w:line="36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36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36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36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36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360" w:lineRule="auto"/>
      </w:pPr>
      <w:r>
        <w:rPr>
          <w:rFonts w:ascii="Times New Roman" w:hAnsi="Times New Roman" w:eastAsia="MS Mincho"/>
          <w:b/>
          <w:i w:val="0"/>
          <w:sz w:val="24"/>
        </w:rPr>
        <w:t>3.2 Stock-side intangibles: the forgotten β</w:t>
      </w:r>
    </w:p>
    <w:p>
      <w:pPr>
        <w:spacing w:after="120" w:line="36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36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360" w:lineRule="auto"/>
      </w:pPr>
      <w:r>
        <w:rPr>
          <w:rFonts w:ascii="Times New Roman" w:hAnsi="Times New Roman" w:eastAsia="MS Mincho"/>
          <w:b/>
          <w:i w:val="0"/>
          <w:sz w:val="24"/>
        </w:rPr>
        <w:t>3.3 Unifying identity: the flow-stock joint loss</w:t>
      </w:r>
    </w:p>
    <w:p>
      <w:pPr>
        <w:spacing w:after="120" w:line="36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36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36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36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360" w:lineRule="auto"/>
      </w:pPr>
      <w:r>
        <w:rPr>
          <w:rFonts w:ascii="Times New Roman" w:hAnsi="Times New Roman" w:eastAsia="MS Mincho"/>
          <w:b/>
          <w:i w:val="0"/>
          <w:sz w:val="24"/>
        </w:rPr>
        <w:t>3.4 Quantum–tempo correspondence between population and capital</w:t>
      </w:r>
    </w:p>
    <w:p>
      <w:pPr>
        <w:spacing w:after="120" w:line="360" w:lineRule="auto"/>
        <w:ind w:firstLine="480"/>
      </w:pPr>
      <w:r>
        <w:rPr>
          <w:rFonts w:ascii="Times New Roman" w:hAnsi="Times New Roman" w:eastAsia="MS Mincho"/>
          <w:b w:val="0"/>
          <w:i w:val="0"/>
          <w:sz w:val="24"/>
        </w:rPr>
        <w:t xml:space="preserve">Table 1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before="360" w:after="120" w:line="360" w:lineRule="auto"/>
      </w:pPr>
      <w:r>
        <w:rPr>
          <w:rFonts w:ascii="Times New Roman" w:hAnsi="Times New Roman" w:eastAsia="MS Mincho"/>
          <w:b/>
          <w:i w:val="0"/>
          <w:sz w:val="24"/>
        </w:rPr>
        <w:t>3.5 Relational PIM: a Brass model for capital accounting</w:t>
      </w:r>
    </w:p>
    <w:p>
      <w:pPr>
        <w:spacing w:after="120" w:line="36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36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36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36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360" w:lineRule="auto"/>
      </w:pPr>
      <w:r>
        <w:rPr>
          <w:rFonts w:ascii="Times New Roman" w:hAnsi="Times New Roman" w:eastAsia="MS Mincho"/>
          <w:b/>
          <w:i w:val="0"/>
          <w:sz w:val="28"/>
        </w:rPr>
        <w:t>4 Data and methods</w:t>
      </w:r>
    </w:p>
    <w:p>
      <w:pPr>
        <w:spacing w:before="360" w:after="120" w:line="360" w:lineRule="auto"/>
      </w:pPr>
      <w:r>
        <w:rPr>
          <w:rFonts w:ascii="Times New Roman" w:hAnsi="Times New Roman" w:eastAsia="MS Mincho"/>
          <w:b/>
          <w:i w:val="0"/>
          <w:sz w:val="24"/>
        </w:rPr>
        <w:t>4.1 Data</w:t>
      </w:r>
    </w:p>
    <w:p>
      <w:pPr>
        <w:spacing w:after="120" w:line="36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w:t>
      </w:r>
    </w:p>
    <w:p>
      <w:pPr>
        <w:spacing w:after="120" w:line="36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360" w:lineRule="auto"/>
      </w:pPr>
      <w:r>
        <w:rPr>
          <w:rFonts w:ascii="Times New Roman" w:hAnsi="Times New Roman" w:eastAsia="MS Mincho"/>
          <w:b/>
          <w:i w:val="0"/>
          <w:sz w:val="24"/>
        </w:rPr>
        <w:t>4.2 Models M0–M4</w:t>
      </w:r>
    </w:p>
    <w:p>
      <w:pPr>
        <w:spacing w:after="120" w:line="360" w:lineRule="auto"/>
        <w:ind w:firstLine="480"/>
      </w:pPr>
      <w:r>
        <w:rPr>
          <w:rFonts w:ascii="Times New Roman" w:hAnsi="Times New Roman" w:eastAsia="MS Mincho"/>
          <w:b w:val="0"/>
          <w:i w:val="0"/>
          <w:sz w:val="24"/>
        </w:rPr>
        <w:t>We estimate five nested production-function specifications:</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 3.3),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36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36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360" w:lineRule="auto"/>
      </w:pPr>
      <w:r>
        <w:rPr>
          <w:rFonts w:ascii="Times New Roman" w:hAnsi="Times New Roman" w:eastAsia="MS Mincho"/>
          <w:b/>
          <w:i w:val="0"/>
          <w:sz w:val="24"/>
        </w:rPr>
        <w:t>4.3 Estimation protocol and grid search</w:t>
      </w:r>
    </w:p>
    <w:p>
      <w:pPr>
        <w:spacing w:after="120" w:line="36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360" w:lineRule="auto"/>
      </w:pPr>
      <w:r>
        <w:rPr>
          <w:rFonts w:ascii="Times New Roman" w:hAnsi="Times New Roman" w:eastAsia="MS Mincho"/>
          <w:b/>
          <w:i w:val="0"/>
          <w:sz w:val="24"/>
        </w:rPr>
        <w:t>4.4 Bootstrap confidence intervals</w:t>
      </w:r>
    </w:p>
    <w:p>
      <w:pPr>
        <w:spacing w:after="120" w:line="36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360" w:lineRule="auto"/>
      </w:pPr>
      <w:r>
        <w:rPr>
          <w:rFonts w:ascii="Times New Roman" w:hAnsi="Times New Roman" w:eastAsia="MS Mincho"/>
          <w:b/>
          <w:i w:val="0"/>
          <w:sz w:val="24"/>
        </w:rPr>
        <w:t>4.5 γ_price sensitivity</w:t>
      </w:r>
    </w:p>
    <w:p>
      <w:pPr>
        <w:spacing w:after="120" w:line="36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360" w:lineRule="auto"/>
      </w:pPr>
      <w:r>
        <w:rPr>
          <w:rFonts w:ascii="Times New Roman" w:hAnsi="Times New Roman" w:eastAsia="MS Mincho"/>
          <w:b/>
          <w:i w:val="0"/>
          <w:sz w:val="28"/>
        </w:rPr>
        <w:t>5 Results</w:t>
      </w:r>
    </w:p>
    <w:p>
      <w:pPr>
        <w:spacing w:before="360" w:after="120" w:line="360" w:lineRule="auto"/>
      </w:pPr>
      <w:r>
        <w:rPr>
          <w:rFonts w:ascii="Times New Roman" w:hAnsi="Times New Roman" w:eastAsia="MS Mincho"/>
          <w:b/>
          <w:i w:val="0"/>
          <w:sz w:val="24"/>
        </w:rPr>
        <w:t>5.1 In-sample parameter distributions and fit</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val="0"/>
          <w:i w:val="0"/>
          <w:sz w:val="24"/>
        </w:rPr>
        <w:t xml:space="preserve">Table 2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360" w:lineRule="auto"/>
      </w:pPr>
      <w:r>
        <w:rPr>
          <w:rFonts w:ascii="Times New Roman" w:hAnsi="Times New Roman" w:eastAsia="MS Mincho"/>
          <w:b/>
          <w:i w:val="0"/>
          <w:sz w:val="24"/>
        </w:rPr>
        <w:t>5.2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2.</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360" w:lineRule="auto"/>
        <w:ind w:firstLine="480"/>
      </w:pPr>
      <w:r>
        <w:rPr>
          <w:rFonts w:ascii="Times New Roman" w:hAnsi="Times New Roman" w:eastAsia="MS Mincho"/>
          <w:b w:val="0"/>
          <w:i w:val="0"/>
          <w:sz w:val="24"/>
        </w:rPr>
        <w:t xml:space="preserve">Figure 2 shows the real pay-off from the tempo correction.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36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36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360" w:lineRule="auto"/>
      </w:pPr>
      <w:r>
        <w:rPr>
          <w:rFonts w:ascii="Times New Roman" w:hAnsi="Times New Roman" w:eastAsia="MS Mincho"/>
          <w:b/>
          <w:i w:val="0"/>
          <w:sz w:val="24"/>
        </w:rPr>
        <w:t>5.3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36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36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pPr>
      <w:r>
        <w:rPr>
          <w:rFonts w:ascii="Times New Roman" w:hAnsi="Times New Roman" w:eastAsia="MS Mincho"/>
          <w:b/>
          <w:i w:val="0"/>
          <w:sz w:val="24"/>
        </w:rPr>
        <w:t>5.4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pPr>
      <w:r>
        <w:rPr>
          <w:rFonts w:ascii="Times New Roman" w:hAnsi="Times New Roman" w:eastAsia="MS Mincho"/>
          <w:b/>
          <w:i w:val="0"/>
          <w:sz w:val="24"/>
        </w:rPr>
        <w:t>5.5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Figure 6 and Table 3 report the Relational PIM diagnostics defined in Sect. 3.5.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360" w:lineRule="auto"/>
      </w:pPr>
      <w:r>
        <w:rPr>
          <w:rFonts w:ascii="Times New Roman" w:hAnsi="Times New Roman" w:eastAsia="MS Mincho"/>
          <w:b/>
          <w:i w:val="0"/>
          <w:sz w:val="24"/>
        </w:rPr>
        <w:t>5.6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360" w:lineRule="auto"/>
        <w:ind w:firstLine="480"/>
      </w:pPr>
      <w:r>
        <w:rPr>
          <w:rFonts w:ascii="Times New Roman" w:hAnsi="Times New Roman" w:eastAsia="MS Mincho"/>
          <w:b w:val="0"/>
          <w:i w:val="0"/>
          <w:sz w:val="24"/>
        </w:rPr>
        <w:t xml:space="preserve">Inklaar's critique (Sect. 6.6)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36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pPr>
      <w:r>
        <w:rPr>
          <w:rFonts w:ascii="Times New Roman" w:hAnsi="Times New Roman" w:eastAsia="MS Mincho"/>
          <w:b/>
          <w:i w:val="0"/>
          <w:sz w:val="24"/>
        </w:rPr>
        <w:t>5.7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4"/>
        </w:rPr>
        <w:t xml:space="preserve">Table 2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36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360" w:lineRule="auto"/>
      </w:pPr>
      <w:r>
        <w:rPr>
          <w:rFonts w:ascii="Times New Roman" w:hAnsi="Times New Roman" w:eastAsia="MS Mincho"/>
          <w:b/>
          <w:i w:val="0"/>
          <w:sz w:val="24"/>
        </w:rPr>
        <w:t>5.8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36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pPr>
      <w:r>
        <w:rPr>
          <w:rFonts w:ascii="Times New Roman" w:hAnsi="Times New Roman" w:eastAsia="MS Mincho"/>
          <w:b/>
          <w:i w:val="0"/>
          <w:sz w:val="24"/>
        </w:rPr>
        <w:t>5.9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36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36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360" w:lineRule="auto"/>
        <w:ind w:firstLine="480"/>
      </w:pPr>
      <w:r>
        <w:rPr>
          <w:rFonts w:ascii="Times New Roman" w:hAnsi="Times New Roman" w:eastAsia="MS Mincho"/>
          <w:b w:val="0"/>
          <w:i w:val="0"/>
          <w:sz w:val="24"/>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360" w:lineRule="auto"/>
      </w:pPr>
      <w:r>
        <w:rPr>
          <w:rFonts w:ascii="Times New Roman" w:hAnsi="Times New Roman" w:eastAsia="MS Mincho"/>
          <w:b/>
          <w:i w:val="0"/>
          <w:sz w:val="24"/>
        </w:rPr>
        <w:t>5.10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360" w:lineRule="auto"/>
        <w:ind w:firstLine="480"/>
      </w:pPr>
      <w:r>
        <w:rPr>
          <w:rFonts w:ascii="Times New Roman" w:hAnsi="Times New Roman" w:eastAsia="MS Mincho"/>
          <w:b w:val="0"/>
          <w:i w:val="0"/>
          <w:sz w:val="24"/>
        </w:rPr>
        <w:t xml:space="preserve">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360" w:lineRule="auto"/>
        <w:ind w:firstLine="480"/>
      </w:pPr>
      <w:r>
        <w:rPr>
          <w:rFonts w:ascii="Times New Roman" w:hAnsi="Times New Roman" w:eastAsia="MS Mincho"/>
          <w:b w:val="0"/>
          <w:i w:val="0"/>
          <w:sz w:val="24"/>
        </w:rPr>
        <w:t xml:space="preserve">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 0.34 estimated for France (Table 2).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360" w:lineRule="auto"/>
      </w:pPr>
      <w:r>
        <w:rPr>
          <w:rFonts w:ascii="Times New Roman" w:hAnsi="Times New Roman" w:eastAsia="MS Mincho"/>
          <w:b/>
          <w:i w:val="0"/>
          <w:sz w:val="24"/>
        </w:rPr>
        <w:t>5.11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360" w:lineRule="auto"/>
        <w:ind w:firstLine="480"/>
      </w:pPr>
      <w:r>
        <w:rPr>
          <w:rFonts w:ascii="Times New Roman" w:hAnsi="Times New Roman" w:eastAsia="MS Mincho"/>
          <w:b w:val="0"/>
          <w:i w:val="0"/>
          <w:sz w:val="24"/>
        </w:rPr>
        <w:t xml:space="preserve">Figure 11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36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pPr>
      <w:r>
        <w:rPr>
          <w:rFonts w:ascii="Times New Roman" w:hAnsi="Times New Roman" w:eastAsia="MS Mincho"/>
          <w:b/>
          <w:i w:val="0"/>
          <w:sz w:val="28"/>
        </w:rPr>
        <w:t>6 Discussion and policy implications</w:t>
      </w:r>
    </w:p>
    <w:p>
      <w:pPr>
        <w:spacing w:after="120" w:line="360" w:lineRule="auto"/>
        <w:ind w:firstLine="480"/>
      </w:pPr>
      <w:r>
        <w:rPr>
          <w:rFonts w:ascii="Times New Roman" w:hAnsi="Times New Roman" w:eastAsia="MS Mincho"/>
          <w:b w:val="0"/>
          <w:i w:val="0"/>
          <w:sz w:val="24"/>
        </w:rPr>
        <w:t>The tempo drift and intangible corrections developed above have direct implications for macroeconomic policy, statistical practice, and the broader measurement agenda. We organise the discussion around five themes.</w:t>
      </w:r>
    </w:p>
    <w:p>
      <w:pPr>
        <w:spacing w:before="360" w:after="120" w:line="360" w:lineRule="auto"/>
      </w:pPr>
      <w:r>
        <w:rPr>
          <w:rFonts w:ascii="Times New Roman" w:hAnsi="Times New Roman" w:eastAsia="MS Mincho"/>
          <w:b/>
          <w:i w:val="0"/>
          <w:sz w:val="24"/>
        </w:rPr>
        <w:t>6.1 Re-interpreting the Solow residual</w:t>
      </w:r>
    </w:p>
    <w:p>
      <w:pPr>
        <w:spacing w:after="120" w:line="360" w:lineRule="auto"/>
        <w:ind w:firstLine="480"/>
      </w:pPr>
      <w:r>
        <w:rPr>
          <w:rFonts w:ascii="Times New Roman" w:hAnsi="Times New Roman" w:eastAsia="MS Mincho"/>
          <w:b w:val="0"/>
          <w:i w:val="0"/>
          <w:sz w:val="24"/>
        </w:rPr>
        <w:t xml:space="preserve">The historical decomposition of Sect. 5.10 puts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360" w:lineRule="auto"/>
      </w:pPr>
      <w:r>
        <w:rPr>
          <w:rFonts w:ascii="Times New Roman" w:hAnsi="Times New Roman" w:eastAsia="MS Mincho"/>
          <w:b/>
          <w:i w:val="0"/>
          <w:sz w:val="24"/>
        </w:rPr>
        <w:t>6.2 The Bongaarts-Feeney-Goldstein-Lutz-Scherbov analogy</w:t>
      </w:r>
    </w:p>
    <w:p>
      <w:pPr>
        <w:spacing w:after="120" w:line="360" w:lineRule="auto"/>
        <w:ind w:firstLine="480"/>
      </w:pPr>
      <w:r>
        <w:rPr>
          <w:rFonts w:ascii="Times New Roman" w:hAnsi="Times New Roman" w:eastAsia="MS Mincho"/>
          <w:b w:val="0"/>
          <w:i w:val="0"/>
          <w:sz w:val="24"/>
        </w:rPr>
        <w:t>Table 1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360" w:lineRule="auto"/>
        <w:ind w:firstLine="480"/>
      </w:pPr>
      <w:r>
        <w:rPr>
          <w:rFonts w:ascii="Times New Roman" w:hAnsi="Times New Roman" w:eastAsia="MS Mincho"/>
          <w:b w:val="0"/>
          <w:i w:val="0"/>
          <w:sz w:val="24"/>
        </w:rPr>
        <w:t xml:space="preserve">At the most conservative level, the results of Sect. 5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360" w:lineRule="auto"/>
      </w:pPr>
      <w:r>
        <w:rPr>
          <w:rFonts w:ascii="Times New Roman" w:hAnsi="Times New Roman" w:eastAsia="MS Mincho"/>
          <w:b/>
          <w:i w:val="0"/>
          <w:sz w:val="24"/>
        </w:rPr>
        <w:t>6.3 Identification strategy and credibility</w:t>
      </w:r>
    </w:p>
    <w:p>
      <w:pPr>
        <w:spacing w:after="120" w:line="360" w:lineRule="auto"/>
        <w:ind w:firstLine="480"/>
      </w:pPr>
      <w:r>
        <w:rPr>
          <w:rFonts w:ascii="Times New Roman" w:hAnsi="Times New Roman" w:eastAsia="MS Mincho"/>
          <w:b w:val="0"/>
          <w:i w:val="0"/>
          <w:sz w:val="24"/>
        </w:rPr>
        <w:t xml:space="preserve">A natural objection is that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may not be separately identified from the production-side data alone: a higher lag </w:t>
      </w:r>
      <w:r>
        <w:rPr>
          <w:rFonts w:ascii="Times New Roman" w:hAnsi="Times New Roman" w:eastAsia="MS Mincho"/>
          <w:b w:val="0"/>
          <w:i/>
          <w:sz w:val="24"/>
        </w:rPr>
        <w:t>μ</w:t>
      </w:r>
      <w:r>
        <w:rPr>
          <w:rFonts w:ascii="Times New Roman" w:hAnsi="Times New Roman" w:eastAsia="MS Mincho"/>
          <w:b w:val="0"/>
          <w:i w:val="0"/>
          <w:sz w:val="24"/>
        </w:rPr>
        <w:t xml:space="preserve"> slows measured capital accumulation in much the same way as a lower intangible share </w:t>
      </w:r>
      <w:r>
        <w:rPr>
          <w:rFonts w:ascii="Times New Roman" w:hAnsi="Times New Roman" w:eastAsia="MS Mincho"/>
          <w:b w:val="0"/>
          <w:i/>
          <w:sz w:val="24"/>
        </w:rPr>
        <w:t>β</w:t>
      </w:r>
      <w:r>
        <w:rPr>
          <w:rFonts w:ascii="Times New Roman" w:hAnsi="Times New Roman" w:eastAsia="MS Mincho"/>
          <w:b w:val="0"/>
          <w:i w:val="0"/>
          <w:sz w:val="24"/>
        </w:rPr>
        <w:t>. Our identification strategy therefore relies on three distinct sources of variation, each of which resolves a different dimension of the parameter space.</w:t>
      </w:r>
    </w:p>
    <w:p>
      <w:pPr>
        <w:spacing w:after="120" w:line="360" w:lineRule="auto"/>
        <w:ind w:firstLine="480"/>
      </w:pPr>
      <w:r>
        <w:rPr>
          <w:rFonts w:ascii="Times New Roman" w:hAnsi="Times New Roman" w:eastAsia="MS Mincho"/>
          <w:b w:val="0"/>
          <w:i/>
          <w:sz w:val="24"/>
        </w:rPr>
        <w:t>First, the wealth-side constraint.</w:t>
      </w:r>
      <w:r>
        <w:rPr>
          <w:rFonts w:ascii="Times New Roman" w:hAnsi="Times New Roman" w:eastAsia="MS Mincho"/>
          <w:b w:val="0"/>
          <w:i w:val="0"/>
          <w:sz w:val="24"/>
        </w:rPr>
        <w:t xml:space="preserve"> The joint loss (2) simultaneously penalises production-side growth-rate residuals and wealth-side trajectory deviations. Because CWON produced capital NW.PCA.TO is an independent measurement — compiled from national balance sheets with their own asset-life assumptions, revaluation conventions, and depreciation schedules — the wealth constraint provides an external discipline that the production residuals alone cannot. The bootstrap evidence in Sect. 5.4 quantifies this: production-side residuals alone leave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as a broad ridge for most countries; adding the wealth constraint collapses the ridge to a point for 28 of 39 countries at 5 %. The collapse is itself a testable implication: if the wealth data were uninformative, the joint and production-only posteriors would coincide.</w:t>
      </w:r>
    </w:p>
    <w:p>
      <w:pPr>
        <w:spacing w:after="120" w:line="360" w:lineRule="auto"/>
        <w:ind w:firstLine="480"/>
      </w:pPr>
      <w:r>
        <w:rPr>
          <w:rFonts w:ascii="Times New Roman" w:hAnsi="Times New Roman" w:eastAsia="MS Mincho"/>
          <w:b w:val="0"/>
          <w:i/>
          <w:sz w:val="24"/>
        </w:rPr>
        <w:t>Second, cross-country heterogeneity in asset composition.</w:t>
      </w:r>
      <w:r>
        <w:rPr>
          <w:rFonts w:ascii="Times New Roman" w:hAnsi="Times New Roman" w:eastAsia="MS Mincho"/>
          <w:b w:val="0"/>
          <w:i w:val="0"/>
          <w:sz w:val="24"/>
        </w:rPr>
        <w:t xml:space="preserve"> Countries with systematically different R&amp;D intensities trace out different regions of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space. The positive gradient of </w:t>
      </w:r>
      <w:r>
        <w:rPr>
          <w:rFonts w:ascii="Times New Roman" w:hAnsi="Times New Roman" w:eastAsia="MS Mincho"/>
          <w:b w:val="0"/>
          <w:i/>
          <w:sz w:val="24"/>
        </w:rPr>
        <w:t>ρ</w:t>
      </w:r>
      <w:r>
        <w:rPr>
          <w:rFonts w:ascii="Times New Roman" w:hAnsi="Times New Roman" w:eastAsia="MS Mincho"/>
          <w:b w:val="0"/>
          <w:i w:val="0"/>
          <w:sz w:val="24"/>
        </w:rPr>
        <w:t xml:space="preserve">̂₂ on R&amp;D intensity reported in Sect. 5.9 (slope = 0.068, t = 2.34 under M4) is consistent with the interpretation that </w:t>
      </w:r>
      <w:r>
        <w:rPr>
          <w:rFonts w:ascii="Times New Roman" w:hAnsi="Times New Roman" w:eastAsia="MS Mincho"/>
          <w:b w:val="0"/>
          <w:i/>
          <w:sz w:val="24"/>
        </w:rPr>
        <w:t>β</w:t>
      </w:r>
      <w:r>
        <w:rPr>
          <w:rFonts w:ascii="Times New Roman" w:hAnsi="Times New Roman" w:eastAsia="MS Mincho"/>
          <w:b w:val="0"/>
          <w:i w:val="0"/>
          <w:sz w:val="24"/>
        </w:rPr>
        <w:t xml:space="preserve"> captures a component correlated with — but not mechanically determined by — observable R&amp;D spending. If </w:t>
      </w:r>
      <w:r>
        <w:rPr>
          <w:rFonts w:ascii="Times New Roman" w:hAnsi="Times New Roman" w:eastAsia="MS Mincho"/>
          <w:b w:val="0"/>
          <w:i/>
          <w:sz w:val="24"/>
        </w:rPr>
        <w:t>β</w:t>
      </w:r>
      <w:r>
        <w:rPr>
          <w:rFonts w:ascii="Times New Roman" w:hAnsi="Times New Roman" w:eastAsia="MS Mincho"/>
          <w:b w:val="0"/>
          <w:i w:val="0"/>
          <w:sz w:val="24"/>
        </w:rPr>
        <w:t xml:space="preserve"> were merely absorbing production-side noise unrelated to intangibles, there would be no reason for the cross-sectional gradient to steepen under M4 relative to M0.</w:t>
      </w:r>
    </w:p>
    <w:p>
      <w:pPr>
        <w:spacing w:after="120" w:line="360" w:lineRule="auto"/>
        <w:ind w:firstLine="480"/>
      </w:pPr>
      <w:r>
        <w:rPr>
          <w:rFonts w:ascii="Times New Roman" w:hAnsi="Times New Roman" w:eastAsia="MS Mincho"/>
          <w:b w:val="0"/>
          <w:i/>
          <w:sz w:val="24"/>
        </w:rPr>
        <w:t>Third, the depreciation-sensitivity check.</w:t>
      </w:r>
      <w:r>
        <w:rPr>
          <w:rFonts w:ascii="Times New Roman" w:hAnsi="Times New Roman" w:eastAsia="MS Mincho"/>
          <w:b w:val="0"/>
          <w:i w:val="0"/>
          <w:sz w:val="24"/>
        </w:rPr>
        <w:t xml:space="preserve"> The </w:t>
      </w:r>
      <w:r>
        <w:rPr>
          <w:rFonts w:ascii="Times New Roman" w:hAnsi="Times New Roman" w:eastAsia="MS Mincho"/>
          <w:b w:val="0"/>
          <w:i/>
          <w:sz w:val="24"/>
        </w:rPr>
        <w:t>δ</w:t>
      </w:r>
      <w:r>
        <w:rPr>
          <w:rFonts w:ascii="Times New Roman" w:hAnsi="Times New Roman" w:eastAsia="MS Mincho"/>
          <w:b w:val="0"/>
          <w:i w:val="0"/>
          <w:sz w:val="24"/>
        </w:rPr>
        <w:t xml:space="preserve">-perturbation experiment in Sect. 5.6 addresses the concern that a drifting depreciation rate could mimic the tempo effect. The finding that </w:t>
      </w:r>
      <w:r>
        <w:rPr>
          <w:rFonts w:ascii="Times New Roman" w:hAnsi="Times New Roman" w:eastAsia="MS Mincho"/>
          <w:b w:val="0"/>
          <w:i/>
          <w:sz w:val="24"/>
        </w:rPr>
        <w:t>μ</w:t>
      </w:r>
      <w:r>
        <w:rPr>
          <w:rFonts w:ascii="Times New Roman" w:hAnsi="Times New Roman" w:eastAsia="MS Mincho"/>
          <w:b w:val="0"/>
          <w:i w:val="0"/>
          <w:sz w:val="24"/>
        </w:rPr>
        <w:t>̂ is stable to within 6 % of the baseline estimate across a ±20 % depreciation perturbation implies that the tempo parameter is not an artefact of depreciation mis-measurement; the two channels are empirically separable under the grid-search protocol, even though they are theoretically confounded in a single-equation setting.</w:t>
      </w:r>
    </w:p>
    <w:p>
      <w:pPr>
        <w:spacing w:after="120" w:line="360" w:lineRule="auto"/>
        <w:ind w:firstLine="480"/>
      </w:pPr>
      <w:r>
        <w:rPr>
          <w:rFonts w:ascii="Times New Roman" w:hAnsi="Times New Roman" w:eastAsia="MS Mincho"/>
          <w:b w:val="0"/>
          <w:i w:val="0"/>
          <w:sz w:val="24"/>
        </w:rPr>
        <w:t xml:space="preserve">We acknowledge that none of these arguments constitutes a structural identification proof of the kind available in natural-experiment or instrumental-variable designs. The framework here is a calibrated decomposition, not a causal model. What the three sources of variation collectively establish is that the decomposition is </w:t>
      </w:r>
      <w:r>
        <w:rPr>
          <w:rFonts w:ascii="Times New Roman" w:hAnsi="Times New Roman" w:eastAsia="MS Mincho"/>
          <w:b w:val="0"/>
          <w:i/>
          <w:sz w:val="24"/>
        </w:rPr>
        <w:t>disciplined</w:t>
      </w:r>
      <w:r>
        <w:rPr>
          <w:rFonts w:ascii="Times New Roman" w:hAnsi="Times New Roman" w:eastAsia="MS Mincho"/>
          <w:b w:val="0"/>
          <w:i w:val="0"/>
          <w:sz w:val="24"/>
        </w:rPr>
        <w:t xml:space="preserve"> — it is not an unconstrained statistical exercise but a system of accounting identities whose parameters are pinned down by the requirement that flow and stock accounts agree — and that the resulting parameter estimates move in the directions predicted by economic theory (higher </w:t>
      </w:r>
      <w:r>
        <w:rPr>
          <w:rFonts w:ascii="Times New Roman" w:hAnsi="Times New Roman" w:eastAsia="MS Mincho"/>
          <w:b w:val="0"/>
          <w:i/>
          <w:sz w:val="24"/>
        </w:rPr>
        <w:t>μ</w:t>
      </w:r>
      <w:r>
        <w:rPr>
          <w:rFonts w:ascii="Times New Roman" w:hAnsi="Times New Roman" w:eastAsia="MS Mincho"/>
          <w:b w:val="0"/>
          <w:i w:val="0"/>
          <w:sz w:val="24"/>
        </w:rPr>
        <w:t xml:space="preserve"> in economies with longer-gestation investment, higher </w:t>
      </w:r>
      <w:r>
        <w:rPr>
          <w:rFonts w:ascii="Times New Roman" w:hAnsi="Times New Roman" w:eastAsia="MS Mincho"/>
          <w:b w:val="0"/>
          <w:i/>
          <w:sz w:val="24"/>
        </w:rPr>
        <w:t>β</w:t>
      </w:r>
      <w:r>
        <w:rPr>
          <w:rFonts w:ascii="Times New Roman" w:hAnsi="Times New Roman" w:eastAsia="MS Mincho"/>
          <w:b w:val="0"/>
          <w:i w:val="0"/>
          <w:sz w:val="24"/>
        </w:rPr>
        <w:t xml:space="preserve"> in economies with more R&amp;D). Whether the decomposition is unique in a deeper structural sense — whether alternative parameter configurations could generate the same observables — is a question we leave to future work with richer asset-class data.</w:t>
      </w:r>
    </w:p>
    <w:p>
      <w:pPr>
        <w:spacing w:before="360" w:after="120" w:line="360" w:lineRule="auto"/>
      </w:pPr>
      <w:r>
        <w:rPr>
          <w:rFonts w:ascii="Times New Roman" w:hAnsi="Times New Roman" w:eastAsia="MS Mincho"/>
          <w:b/>
          <w:i w:val="0"/>
          <w:sz w:val="24"/>
        </w:rPr>
        <w:t>6.4 Concrete policy implications</w:t>
      </w:r>
    </w:p>
    <w:p>
      <w:pPr>
        <w:spacing w:after="120" w:line="360" w:lineRule="auto"/>
        <w:ind w:firstLine="480"/>
      </w:pPr>
      <w:r>
        <w:rPr>
          <w:rFonts w:ascii="Times New Roman" w:hAnsi="Times New Roman" w:eastAsia="MS Mincho"/>
          <w:b w:val="0"/>
          <w:i w:val="0"/>
          <w:sz w:val="24"/>
        </w:rPr>
        <w:t>The corrections developed here translate into four actionable recommendations for macroeconomic policy and statistical practice.</w:t>
      </w:r>
    </w:p>
    <w:p>
      <w:pPr>
        <w:spacing w:after="120" w:line="360" w:lineRule="auto"/>
        <w:ind w:firstLine="480"/>
      </w:pPr>
      <w:r>
        <w:rPr>
          <w:rFonts w:ascii="Times New Roman" w:hAnsi="Times New Roman" w:eastAsia="MS Mincho"/>
          <w:b w:val="0"/>
          <w:i/>
          <w:sz w:val="24"/>
        </w:rPr>
        <w:t>Potential output and fiscal rules.</w:t>
      </w:r>
      <w:r>
        <w:rPr>
          <w:rFonts w:ascii="Times New Roman" w:hAnsi="Times New Roman" w:eastAsia="MS Mincho"/>
          <w:b w:val="0"/>
          <w:i w:val="0"/>
          <w:sz w:val="24"/>
        </w:rPr>
        <w:t xml:space="preserve"> Output-gap estimates that feed directly into fiscal-policy rules — the EU's Stability and Growth Pact, the US Congressional Budget Office's potential-GDP series, Japan's Cabinet Office estimates — are computed from production functions that assume </w:t>
      </w:r>
      <w:r>
        <w:rPr>
          <w:rFonts w:ascii="Times New Roman" w:hAnsi="Times New Roman" w:eastAsia="MS Mincho"/>
          <w:b w:val="0"/>
          <w:i/>
          <w:sz w:val="24"/>
        </w:rPr>
        <w:t>μ</w:t>
      </w:r>
      <w:r>
        <w:rPr>
          <w:rFonts w:ascii="Times New Roman" w:hAnsi="Times New Roman" w:eastAsia="MS Mincho"/>
          <w:b w:val="0"/>
          <w:i w:val="0"/>
          <w:sz w:val="24"/>
        </w:rPr>
        <w:t xml:space="preserve"> = 0 and </w:t>
      </w:r>
      <w:r>
        <w:rPr>
          <w:rFonts w:ascii="Times New Roman" w:hAnsi="Times New Roman" w:eastAsia="MS Mincho"/>
          <w:b w:val="0"/>
          <w:i/>
          <w:sz w:val="24"/>
        </w:rPr>
        <w:t>β</w:t>
      </w:r>
      <w:r>
        <w:rPr>
          <w:rFonts w:ascii="Times New Roman" w:hAnsi="Times New Roman" w:eastAsia="MS Mincho"/>
          <w:b w:val="0"/>
          <w:i w:val="0"/>
          <w:sz w:val="24"/>
        </w:rPr>
        <w:t xml:space="preserve"> = 0. If the capital stock is systematically mis-timed, the potential-output estimate inherits the bias, and the fiscal stance calibrated to the resulting output gap is correspondingly distorted. For a country like Sweden (</w:t>
      </w:r>
      <w:r>
        <w:rPr>
          <w:rFonts w:ascii="Times New Roman" w:hAnsi="Times New Roman" w:eastAsia="MS Mincho"/>
          <w:b w:val="0"/>
          <w:i/>
          <w:sz w:val="24"/>
        </w:rPr>
        <w:t>μ</w:t>
      </w:r>
      <w:r>
        <w:rPr>
          <w:rFonts w:ascii="Times New Roman" w:hAnsi="Times New Roman" w:eastAsia="MS Mincho"/>
          <w:b w:val="0"/>
          <w:i w:val="0"/>
          <w:sz w:val="24"/>
        </w:rPr>
        <w:t>̂ ≈ 3.0 years), the PIM capital stock under M0 runs 2–4 years ahead of the tempo-corrected stock, which implies that the conventional output gap overstates the degree of slack during investment booms and understates it during downturns. Governments that tighten fiscal policy in response to an overestimated output gap risk procyclical contraction.</w:t>
      </w:r>
    </w:p>
    <w:p>
      <w:pPr>
        <w:spacing w:after="120" w:line="360" w:lineRule="auto"/>
        <w:ind w:firstLine="480"/>
      </w:pPr>
      <w:r>
        <w:rPr>
          <w:rFonts w:ascii="Times New Roman" w:hAnsi="Times New Roman" w:eastAsia="MS Mincho"/>
          <w:b w:val="0"/>
          <w:i/>
          <w:sz w:val="24"/>
        </w:rPr>
        <w:t>Monetary-policy transmission.</w:t>
      </w:r>
      <w:r>
        <w:rPr>
          <w:rFonts w:ascii="Times New Roman" w:hAnsi="Times New Roman" w:eastAsia="MS Mincho"/>
          <w:b w:val="0"/>
          <w:i w:val="0"/>
          <w:sz w:val="24"/>
        </w:rPr>
        <w:t xml:space="preserve"> The lengthening of monetary-policy transmission lags documented by Havranek and Rusnak (2013) has been attributed to financial deepening and expectation formation. The time-varying </w:t>
      </w:r>
      <w:r>
        <w:rPr>
          <w:rFonts w:ascii="Times New Roman" w:hAnsi="Times New Roman" w:eastAsia="MS Mincho"/>
          <w:b w:val="0"/>
          <w:i/>
          <w:sz w:val="24"/>
        </w:rPr>
        <w:t>μ</w:t>
      </w:r>
      <w:r>
        <w:rPr>
          <w:rFonts w:ascii="Times New Roman" w:hAnsi="Times New Roman" w:eastAsia="MS Mincho"/>
          <w:b w:val="0"/>
          <w:i w:val="0"/>
          <w:sz w:val="24"/>
        </w:rPr>
        <w:t>(t) offers a complementary structural explanation: as the typical investment project takes longer to mature — from factories built in 18 months in the 1970s to software platforms deployed over 3–5 years today — the real-economy response to interest-rate changes is mechanically delayed by the same gestation lag that this paper formalises. Central banks calibrating their forward guidance to historical transmission lags may therefore underestimate the delay with which current rate changes affect output.</w:t>
      </w:r>
    </w:p>
    <w:p>
      <w:pPr>
        <w:spacing w:after="120" w:line="360" w:lineRule="auto"/>
        <w:ind w:firstLine="480"/>
      </w:pPr>
      <w:r>
        <w:rPr>
          <w:rFonts w:ascii="Times New Roman" w:hAnsi="Times New Roman" w:eastAsia="MS Mincho"/>
          <w:b w:val="0"/>
          <w:i/>
          <w:sz w:val="24"/>
        </w:rPr>
        <w:t>Statistical-agency practice.</w:t>
      </w:r>
      <w:r>
        <w:rPr>
          <w:rFonts w:ascii="Times New Roman" w:hAnsi="Times New Roman" w:eastAsia="MS Mincho"/>
          <w:b w:val="0"/>
          <w:i w:val="0"/>
          <w:sz w:val="24"/>
        </w:rPr>
        <w:t xml:space="preserve"> The System of National Accounts (SNA 2008) and its 2025 revision process would benefit from three specific modifications. First, the PIM should report </w:t>
      </w:r>
      <w:r>
        <w:rPr>
          <w:rFonts w:ascii="Times New Roman" w:hAnsi="Times New Roman" w:eastAsia="MS Mincho"/>
          <w:b w:val="0"/>
          <w:i/>
          <w:sz w:val="24"/>
        </w:rPr>
        <w:t>μ</w:t>
      </w:r>
      <w:r>
        <w:rPr>
          <w:rFonts w:ascii="Times New Roman" w:hAnsi="Times New Roman" w:eastAsia="MS Mincho"/>
          <w:b w:val="0"/>
          <w:i w:val="0"/>
          <w:sz w:val="24"/>
        </w:rPr>
        <w:t xml:space="preserve">(t) as a time-varying parameter alongside the depreciation rate </w:t>
      </w:r>
      <w:r>
        <w:rPr>
          <w:rFonts w:ascii="Times New Roman" w:hAnsi="Times New Roman" w:eastAsia="MS Mincho"/>
          <w:b w:val="0"/>
          <w:i/>
          <w:sz w:val="24"/>
        </w:rPr>
        <w:t>δ</w:t>
      </w:r>
      <w:r>
        <w:rPr>
          <w:rFonts w:ascii="Times New Roman" w:hAnsi="Times New Roman" w:eastAsia="MS Mincho"/>
          <w:b w:val="0"/>
          <w:i w:val="0"/>
          <w:sz w:val="24"/>
        </w:rPr>
        <w:t xml:space="preserve">, rather than treating it as a fixed structural constant; the computational cost is negligible (our grid search runs in under one second per country) and the informational gain — knowing whether the capital stock is speeding up or slowing down relative to investment — is substantial. Second, produced-capital aggregates should carry a supplementary </w:t>
      </w:r>
      <w:r>
        <w:rPr>
          <w:rFonts w:ascii="Times New Roman" w:hAnsi="Times New Roman" w:eastAsia="MS Mincho"/>
          <w:b w:val="0"/>
          <w:i/>
          <w:sz w:val="24"/>
        </w:rPr>
        <w:t>β</w:t>
      </w:r>
      <w:r>
        <w:rPr>
          <w:rFonts w:ascii="Times New Roman" w:hAnsi="Times New Roman" w:eastAsia="MS Mincho"/>
          <w:b w:val="0"/>
          <w:i w:val="0"/>
          <w:sz w:val="24"/>
        </w:rPr>
        <w:t xml:space="preserve"> estimate so that users can see the intangible adjustment at a glance. Third, the Relational PIM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developed in Sect. 3.5 can serve as a routine quality-control metric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investigation before its wealth statistics are published.</w:t>
      </w:r>
    </w:p>
    <w:p>
      <w:pPr>
        <w:spacing w:after="120" w:line="360" w:lineRule="auto"/>
        <w:ind w:firstLine="480"/>
      </w:pPr>
      <w:r>
        <w:rPr>
          <w:rFonts w:ascii="Times New Roman" w:hAnsi="Times New Roman" w:eastAsia="MS Mincho"/>
          <w:b w:val="0"/>
          <w:i/>
          <w:sz w:val="24"/>
        </w:rPr>
        <w:t>International GDP comparability.</w:t>
      </w:r>
      <w:r>
        <w:rPr>
          <w:rFonts w:ascii="Times New Roman" w:hAnsi="Times New Roman" w:eastAsia="MS Mincho"/>
          <w:b w:val="0"/>
          <w:i w:val="0"/>
          <w:sz w:val="24"/>
        </w:rPr>
        <w:t xml:space="preserve"> Cross-country heterogeneity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maps onto observable differences in investment composition. The one-size-fits-all depreciation schedules and zero-lag assumption used to construct PWT capital stocks therefore introduce a systematic comparability problem: countries with longer-gestation investment portfolios (Nordic economies, Republic of Korea) appear to have lower capital and higher TFP relative to countries with shorter-gestation portfolios (United States, United Kingdom). Tempo-correcting the capital stock before computing TFP would improve the comparability of cross-country productivity studies such as Inklaar and Timmer (2013).</w:t>
      </w:r>
    </w:p>
    <w:p>
      <w:pPr>
        <w:spacing w:before="360" w:after="120" w:line="360" w:lineRule="auto"/>
      </w:pPr>
      <w:r>
        <w:rPr>
          <w:rFonts w:ascii="Times New Roman" w:hAnsi="Times New Roman" w:eastAsia="MS Mincho"/>
          <w:b/>
          <w:i w:val="0"/>
          <w:sz w:val="24"/>
        </w:rPr>
        <w:t>6.5 Flow–stock reconciliation and Beyond-GDP</w:t>
      </w:r>
    </w:p>
    <w:p>
      <w:pPr>
        <w:spacing w:after="120" w:line="36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The results here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36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360" w:lineRule="auto"/>
      </w:pPr>
      <w:r>
        <w:rPr>
          <w:rFonts w:ascii="Times New Roman" w:hAnsi="Times New Roman" w:eastAsia="MS Mincho"/>
          <w:b/>
          <w:i w:val="0"/>
          <w:sz w:val="24"/>
        </w:rPr>
        <w:t>6.6 Extensions</w:t>
      </w:r>
    </w:p>
    <w:p>
      <w:pPr>
        <w:spacing w:after="120" w:line="360" w:lineRule="auto"/>
        <w:ind w:firstLine="480"/>
      </w:pPr>
      <w:r>
        <w:rPr>
          <w:rFonts w:ascii="Times New Roman" w:hAnsi="Times New Roman" w:eastAsia="MS Mincho"/>
          <w:b w:val="0"/>
          <w:i w:val="0"/>
          <w:sz w:val="24"/>
        </w:rPr>
        <w:t>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explains an additional share of life-expectancy gaps. More broadly, any stock process whose timing structure drifts — the human-capital stock, the stock of accumulated medical R&amp;D, the stock of climate adaptation capital — admits the same tempo-plus-forgotten-parameter correction. Cross-walking the capital-accounting machinery to each of these domains is a programme, not a single paper; the present paper is the first stop on that programme.</w:t>
      </w:r>
    </w:p>
    <w:p>
      <w:pPr>
        <w:spacing w:before="360" w:after="120" w:line="360" w:lineRule="auto"/>
      </w:pPr>
      <w:r>
        <w:rPr>
          <w:rFonts w:ascii="Times New Roman" w:hAnsi="Times New Roman" w:eastAsia="MS Mincho"/>
          <w:b/>
          <w:i w:val="0"/>
          <w:sz w:val="24"/>
        </w:rPr>
        <w:t>6.7 Limitations</w:t>
      </w:r>
    </w:p>
    <w:p>
      <w:pPr>
        <w:spacing w:after="120" w:line="36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(Sect. 5.4)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(Sect. 5.3)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360" w:lineRule="auto"/>
      </w:pPr>
      <w:r>
        <w:rPr>
          <w:rFonts w:ascii="Times New Roman" w:hAnsi="Times New Roman" w:eastAsia="MS Mincho"/>
          <w:b/>
          <w:i w:val="0"/>
          <w:sz w:val="28"/>
        </w:rPr>
        <w:t>7 Conclusion</w:t>
      </w:r>
    </w:p>
    <w:p>
      <w:pPr>
        <w:spacing w:after="120" w:line="36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36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36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cost of re-estimating </w:t>
      </w:r>
      <w:r>
        <w:rPr>
          <w:rFonts w:ascii="Times New Roman" w:hAnsi="Times New Roman" w:eastAsia="MS Mincho"/>
          <w:b w:val="0"/>
          <w:i/>
          <w:sz w:val="24"/>
        </w:rPr>
        <w:t>μ</w:t>
      </w:r>
      <w:r>
        <w:rPr>
          <w:rFonts w:ascii="Times New Roman" w:hAnsi="Times New Roman" w:eastAsia="MS Mincho"/>
          <w:b w:val="0"/>
          <w:i w:val="0"/>
          <w:sz w:val="24"/>
        </w:rPr>
        <w:t>(t) is modest and the benefit in out-of-sample fit is comparable to adding a full suite of stochastic shocks to the production function.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360" w:lineRule="auto"/>
      </w:pPr>
      <w:r>
        <w:rPr>
          <w:rFonts w:ascii="Times New Roman" w:hAnsi="Times New Roman" w:eastAsia="MS Mincho"/>
          <w:b/>
          <w:i w:val="0"/>
          <w:sz w:val="28"/>
        </w:rPr>
        <w:t>Tables</w:t>
      </w:r>
    </w:p>
    <w:p>
      <w:pPr>
        <w:spacing w:after="120" w:line="36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36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36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36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360" w:lineRule="auto"/>
      </w:pPr>
      <w:r>
        <w:rPr>
          <w:rFonts w:ascii="Times New Roman" w:hAnsi="Times New Roman" w:eastAsia="MS Mincho"/>
          <w:b/>
          <w:i w:val="0"/>
          <w:sz w:val="28"/>
        </w:rPr>
        <w:t>References</w:t>
      </w:r>
    </w:p>
    <w:p>
      <w:pPr>
        <w:spacing w:after="120" w:line="36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w:t>
      </w:r>
      <w:r>
        <w:rPr>
          <w:rFonts w:ascii="Times New Roman" w:hAnsi="Times New Roman" w:eastAsia="MS Mincho"/>
          <w:b w:val="0"/>
          <w:i/>
          <w:sz w:val="24"/>
        </w:rPr>
        <w:t>30</w:t>
      </w:r>
      <w:r>
        <w:rPr>
          <w:rFonts w:ascii="Times New Roman" w:hAnsi="Times New Roman" w:eastAsia="MS Mincho"/>
          <w:b w:val="0"/>
          <w:i w:val="0"/>
          <w:sz w:val="24"/>
        </w:rPr>
        <w:t>(4), 889–920. https://doi.org/10.2307/2526758</w:t>
      </w:r>
    </w:p>
    <w:p>
      <w:pPr>
        <w:spacing w:after="120" w:line="360" w:lineRule="auto"/>
        <w:ind w:firstLine="480"/>
      </w:pPr>
      <w:r>
        <w:rPr>
          <w:rFonts w:ascii="Times New Roman" w:hAnsi="Times New Roman" w:eastAsia="MS Mincho"/>
          <w:b w:val="0"/>
          <w:i w:val="0"/>
          <w:sz w:val="24"/>
        </w:rPr>
        <w:t xml:space="preserve">Arrow, K. J., Dasgupta, P., Goulder, L. H., Mumford, K. J., &amp;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w:t>
      </w:r>
      <w:r>
        <w:rPr>
          <w:rFonts w:ascii="Times New Roman" w:hAnsi="Times New Roman" w:eastAsia="MS Mincho"/>
          <w:b w:val="0"/>
          <w:i/>
          <w:sz w:val="24"/>
        </w:rPr>
        <w:t>17</w:t>
      </w:r>
      <w:r>
        <w:rPr>
          <w:rFonts w:ascii="Times New Roman" w:hAnsi="Times New Roman" w:eastAsia="MS Mincho"/>
          <w:b w:val="0"/>
          <w:i w:val="0"/>
          <w:sz w:val="24"/>
        </w:rPr>
        <w:t>(3), 317–353. https://doi.org/10.1017/S1355770X12000137</w:t>
      </w:r>
    </w:p>
    <w:p>
      <w:pPr>
        <w:spacing w:after="120" w:line="360" w:lineRule="auto"/>
        <w:ind w:firstLine="480"/>
      </w:pPr>
      <w:r>
        <w:rPr>
          <w:rFonts w:ascii="Times New Roman" w:hAnsi="Times New Roman" w:eastAsia="MS Mincho"/>
          <w:b w:val="0"/>
          <w:i w:val="0"/>
          <w:sz w:val="24"/>
        </w:rPr>
        <w:t xml:space="preserve">Bongaarts, J., &amp;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24</w:t>
      </w:r>
      <w:r>
        <w:rPr>
          <w:rFonts w:ascii="Times New Roman" w:hAnsi="Times New Roman" w:eastAsia="MS Mincho"/>
          <w:b w:val="0"/>
          <w:i w:val="0"/>
          <w:sz w:val="24"/>
        </w:rPr>
        <w:t>(2), 271–291. https://doi.org/10.2307/2807974</w:t>
      </w:r>
    </w:p>
    <w:p>
      <w:pPr>
        <w:spacing w:after="120" w:line="360" w:lineRule="auto"/>
        <w:ind w:firstLine="480"/>
      </w:pPr>
      <w:r>
        <w:rPr>
          <w:rFonts w:ascii="Times New Roman" w:hAnsi="Times New Roman" w:eastAsia="MS Mincho"/>
          <w:b w:val="0"/>
          <w:i w:val="0"/>
          <w:sz w:val="24"/>
        </w:rPr>
        <w:t xml:space="preserve">Bongaarts, J., &amp;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38</w:t>
      </w:r>
      <w:r>
        <w:rPr>
          <w:rFonts w:ascii="Times New Roman" w:hAnsi="Times New Roman" w:eastAsia="MS Mincho"/>
          <w:b w:val="0"/>
          <w:i w:val="0"/>
          <w:sz w:val="24"/>
        </w:rPr>
        <w:t>(1), 83–120. https://doi.org/10.1111/j.1728-4457.2012.00473.x</w:t>
      </w:r>
    </w:p>
    <w:p>
      <w:pPr>
        <w:spacing w:after="120" w:line="360" w:lineRule="auto"/>
        <w:ind w:firstLine="480"/>
      </w:pPr>
      <w:r>
        <w:rPr>
          <w:rFonts w:ascii="Times New Roman" w:hAnsi="Times New Roman" w:eastAsia="MS Mincho"/>
          <w:b w:val="0"/>
          <w:i w:val="0"/>
          <w:sz w:val="24"/>
        </w:rPr>
        <w:t xml:space="preserve">Brass, W. (1971). On the scale of mortality. In W. Brass (Ed.), </w:t>
      </w:r>
      <w:r>
        <w:rPr>
          <w:rFonts w:ascii="Times New Roman" w:hAnsi="Times New Roman" w:eastAsia="MS Mincho"/>
          <w:b w:val="0"/>
          <w:i/>
          <w:sz w:val="24"/>
        </w:rPr>
        <w:t>Biological aspects of demography</w:t>
      </w:r>
      <w:r>
        <w:rPr>
          <w:rFonts w:ascii="Times New Roman" w:hAnsi="Times New Roman" w:eastAsia="MS Mincho"/>
          <w:b w:val="0"/>
          <w:i w:val="0"/>
          <w:sz w:val="24"/>
        </w:rPr>
        <w:t xml:space="preserve"> (pp. 69–110). Taylor and Francis.</w:t>
      </w:r>
    </w:p>
    <w:p>
      <w:pPr>
        <w:spacing w:after="120" w:line="360" w:lineRule="auto"/>
        <w:ind w:firstLine="480"/>
      </w:pPr>
      <w:r>
        <w:rPr>
          <w:rFonts w:ascii="Times New Roman" w:hAnsi="Times New Roman" w:eastAsia="MS Mincho"/>
          <w:b w:val="0"/>
          <w:i w:val="0"/>
          <w:sz w:val="24"/>
        </w:rPr>
        <w:t xml:space="preserve">Christiano, L. J., &amp; Todd, R. 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w:t>
      </w:r>
      <w:r>
        <w:rPr>
          <w:rFonts w:ascii="Times New Roman" w:hAnsi="Times New Roman" w:eastAsia="MS Mincho"/>
          <w:b w:val="0"/>
          <w:i/>
          <w:sz w:val="24"/>
        </w:rPr>
        <w:t>20</w:t>
      </w:r>
      <w:r>
        <w:rPr>
          <w:rFonts w:ascii="Times New Roman" w:hAnsi="Times New Roman" w:eastAsia="MS Mincho"/>
          <w:b w:val="0"/>
          <w:i w:val="0"/>
          <w:sz w:val="24"/>
        </w:rPr>
        <w:t>(1), 14–27.</w:t>
      </w:r>
    </w:p>
    <w:p>
      <w:pPr>
        <w:spacing w:after="120" w:line="360" w:lineRule="auto"/>
        <w:ind w:firstLine="480"/>
      </w:pPr>
      <w:r>
        <w:rPr>
          <w:rFonts w:ascii="Times New Roman" w:hAnsi="Times New Roman" w:eastAsia="MS Mincho"/>
          <w:b w:val="0"/>
          <w:i w:val="0"/>
          <w:sz w:val="24"/>
        </w:rPr>
        <w:t xml:space="preserve">Corrado, C., Hulten, C., &amp; Sichel, D. (2005). Measuring capital and technology: An expanded framework. In C. Corrado, J. Haltiwanger, &amp; D.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xml:space="preserve"> (pp. 11–46). University of Chicago Press. https://doi.org/10.7208/chicago/9780226116174.003.0002</w:t>
      </w:r>
    </w:p>
    <w:p>
      <w:pPr>
        <w:spacing w:after="120" w:line="360" w:lineRule="auto"/>
        <w:ind w:firstLine="480"/>
      </w:pPr>
      <w:r>
        <w:rPr>
          <w:rFonts w:ascii="Times New Roman" w:hAnsi="Times New Roman" w:eastAsia="MS Mincho"/>
          <w:b w:val="0"/>
          <w:i w:val="0"/>
          <w:sz w:val="24"/>
        </w:rPr>
        <w:t xml:space="preserve">Corrado, C., Hulten, C., &amp;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w:t>
      </w:r>
      <w:r>
        <w:rPr>
          <w:rFonts w:ascii="Times New Roman" w:hAnsi="Times New Roman" w:eastAsia="MS Mincho"/>
          <w:b w:val="0"/>
          <w:i/>
          <w:sz w:val="24"/>
        </w:rPr>
        <w:t>55</w:t>
      </w:r>
      <w:r>
        <w:rPr>
          <w:rFonts w:ascii="Times New Roman" w:hAnsi="Times New Roman" w:eastAsia="MS Mincho"/>
          <w:b w:val="0"/>
          <w:i w:val="0"/>
          <w:sz w:val="24"/>
        </w:rPr>
        <w:t>(3), 661–685. https://doi.org/10.1111/j.1475-4991.2009.00343.x</w:t>
      </w:r>
    </w:p>
    <w:p>
      <w:pPr>
        <w:spacing w:after="120" w:line="360" w:lineRule="auto"/>
        <w:ind w:firstLine="480"/>
      </w:pPr>
      <w:r>
        <w:rPr>
          <w:rFonts w:ascii="Times New Roman" w:hAnsi="Times New Roman" w:eastAsia="MS Mincho"/>
          <w:b w:val="0"/>
          <w:i w:val="0"/>
          <w:sz w:val="24"/>
        </w:rPr>
        <w:t>Corrado, C., Haskel, J., Jona-Lasinio, C., &amp; Iommi, M. (2016). Intangible investment in the EU and US before and since the Great Recession and its contribution to productivity growth (EIB Working Papers 2016/08). European Investment Bank.</w:t>
      </w:r>
    </w:p>
    <w:p>
      <w:pPr>
        <w:spacing w:after="120" w:line="360" w:lineRule="auto"/>
        <w:ind w:firstLine="480"/>
      </w:pPr>
      <w:r>
        <w:rPr>
          <w:rFonts w:ascii="Times New Roman" w:hAnsi="Times New Roman" w:eastAsia="MS Mincho"/>
          <w:b w:val="0"/>
          <w:i w:val="0"/>
          <w:sz w:val="24"/>
        </w:rPr>
        <w:t xml:space="preserve">Corrado, C., Haskel, J., Iommi, M., &amp; Jona-Lasinio, C. (2020). Intangible capital, innovation and productivity à la Jorgenson: Evidence from Europe and the US. In B.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xml:space="preserve"> (pp. 363–385). Academic Press. https://doi.org/10.1016/B978-0-12-817596-5.00019-2</w:t>
      </w:r>
    </w:p>
    <w:p>
      <w:pPr>
        <w:spacing w:after="120" w:line="36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HM Treasury.</w:t>
      </w:r>
    </w:p>
    <w:p>
      <w:pPr>
        <w:spacing w:after="120" w:line="360" w:lineRule="auto"/>
        <w:ind w:firstLine="480"/>
      </w:pPr>
      <w:r>
        <w:rPr>
          <w:rFonts w:ascii="Times New Roman" w:hAnsi="Times New Roman" w:eastAsia="MS Mincho"/>
          <w:b w:val="0"/>
          <w:i w:val="0"/>
          <w:sz w:val="24"/>
        </w:rPr>
        <w:t xml:space="preserve">Edge, R. 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w:t>
      </w:r>
      <w:r>
        <w:rPr>
          <w:rFonts w:ascii="Times New Roman" w:hAnsi="Times New Roman" w:eastAsia="MS Mincho"/>
          <w:b w:val="0"/>
          <w:i/>
          <w:sz w:val="24"/>
        </w:rPr>
        <w:t>54</w:t>
      </w:r>
      <w:r>
        <w:rPr>
          <w:rFonts w:ascii="Times New Roman" w:hAnsi="Times New Roman" w:eastAsia="MS Mincho"/>
          <w:b w:val="0"/>
          <w:i w:val="0"/>
          <w:sz w:val="24"/>
        </w:rPr>
        <w:t>(6), 1644–1669. https://doi.org/10.1016/j.jmoneco.2006.07.005</w:t>
      </w:r>
    </w:p>
    <w:p>
      <w:pPr>
        <w:spacing w:after="120" w:line="360" w:lineRule="auto"/>
        <w:ind w:firstLine="480"/>
      </w:pPr>
      <w:r>
        <w:rPr>
          <w:rFonts w:ascii="Times New Roman" w:hAnsi="Times New Roman" w:eastAsia="MS Mincho"/>
          <w:b w:val="0"/>
          <w:i w:val="0"/>
          <w:sz w:val="24"/>
        </w:rPr>
        <w:t xml:space="preserve">Feenstra, R. C., Inklaar, R., &amp; Timmer, M. 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105</w:t>
      </w:r>
      <w:r>
        <w:rPr>
          <w:rFonts w:ascii="Times New Roman" w:hAnsi="Times New Roman" w:eastAsia="MS Mincho"/>
          <w:b w:val="0"/>
          <w:i w:val="0"/>
          <w:sz w:val="24"/>
        </w:rPr>
        <w:t>(10), 3150–3182. https://doi.org/10.1257/aer.20130954</w:t>
      </w:r>
    </w:p>
    <w:p>
      <w:pPr>
        <w:spacing w:after="120" w:line="360" w:lineRule="auto"/>
        <w:ind w:firstLine="480"/>
      </w:pPr>
      <w:r>
        <w:rPr>
          <w:rFonts w:ascii="Times New Roman" w:hAnsi="Times New Roman" w:eastAsia="MS Mincho"/>
          <w:b w:val="0"/>
          <w:i w:val="0"/>
          <w:sz w:val="24"/>
        </w:rPr>
        <w:t xml:space="preserve">Goldstein, J. R., Lutz, W., &amp;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(4), 699–707. https://doi.org/10.1111/j.1728-4457.2003.00699.x</w:t>
      </w:r>
    </w:p>
    <w:p>
      <w:pPr>
        <w:spacing w:after="120" w:line="36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1324–1330.</w:t>
      </w:r>
    </w:p>
    <w:p>
      <w:pPr>
        <w:spacing w:after="120" w:line="360" w:lineRule="auto"/>
        <w:ind w:firstLine="480"/>
      </w:pPr>
      <w:r>
        <w:rPr>
          <w:rFonts w:ascii="Times New Roman" w:hAnsi="Times New Roman" w:eastAsia="MS Mincho"/>
          <w:b w:val="0"/>
          <w:i w:val="0"/>
          <w:sz w:val="24"/>
        </w:rPr>
        <w:t xml:space="preserve">Haskel, J., &amp;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Haskel, J., &amp;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University Press.</w:t>
      </w:r>
    </w:p>
    <w:p>
      <w:pPr>
        <w:spacing w:after="120" w:line="360" w:lineRule="auto"/>
        <w:ind w:firstLine="480"/>
      </w:pPr>
      <w:r>
        <w:rPr>
          <w:rFonts w:ascii="Times New Roman" w:hAnsi="Times New Roman" w:eastAsia="MS Mincho"/>
          <w:b w:val="0"/>
          <w:i w:val="0"/>
          <w:sz w:val="24"/>
        </w:rPr>
        <w:t xml:space="preserve">Havranek, T., &amp; Rusnak, M. (2013). Transmission lags of monetary policy: A meta-analysis. </w:t>
      </w:r>
      <w:r>
        <w:rPr>
          <w:rFonts w:ascii="Times New Roman" w:hAnsi="Times New Roman" w:eastAsia="MS Mincho"/>
          <w:b w:val="0"/>
          <w:i/>
          <w:sz w:val="24"/>
        </w:rPr>
        <w:t>International Journal of Central Banking</w:t>
      </w:r>
      <w:r>
        <w:rPr>
          <w:rFonts w:ascii="Times New Roman" w:hAnsi="Times New Roman" w:eastAsia="MS Mincho"/>
          <w:b w:val="0"/>
          <w:i w:val="0"/>
          <w:sz w:val="24"/>
        </w:rPr>
        <w:t xml:space="preserve">, </w:t>
      </w:r>
      <w:r>
        <w:rPr>
          <w:rFonts w:ascii="Times New Roman" w:hAnsi="Times New Roman" w:eastAsia="MS Mincho"/>
          <w:b w:val="0"/>
          <w:i/>
          <w:sz w:val="24"/>
        </w:rPr>
        <w:t>9</w:t>
      </w:r>
      <w:r>
        <w:rPr>
          <w:rFonts w:ascii="Times New Roman" w:hAnsi="Times New Roman" w:eastAsia="MS Mincho"/>
          <w:b w:val="0"/>
          <w:i w:val="0"/>
          <w:sz w:val="24"/>
        </w:rPr>
        <w:t>(4), 39–76.</w:t>
      </w:r>
    </w:p>
    <w:p>
      <w:pPr>
        <w:spacing w:after="120" w:line="360" w:lineRule="auto"/>
        <w:ind w:firstLine="480"/>
      </w:pPr>
      <w:r>
        <w:rPr>
          <w:rFonts w:ascii="Times New Roman" w:hAnsi="Times New Roman" w:eastAsia="MS Mincho"/>
          <w:b w:val="0"/>
          <w:i w:val="0"/>
          <w:sz w:val="24"/>
        </w:rPr>
        <w:t xml:space="preserve">Hayashi, F., &amp; Prescott, E. C. (2002). The 1990s in Japan: A lost decade. </w:t>
      </w:r>
      <w:r>
        <w:rPr>
          <w:rFonts w:ascii="Times New Roman" w:hAnsi="Times New Roman" w:eastAsia="MS Mincho"/>
          <w:b w:val="0"/>
          <w:i/>
          <w:sz w:val="24"/>
        </w:rPr>
        <w:t>Review of Economic Dynamics</w:t>
      </w:r>
      <w:r>
        <w:rPr>
          <w:rFonts w:ascii="Times New Roman" w:hAnsi="Times New Roman" w:eastAsia="MS Mincho"/>
          <w:b w:val="0"/>
          <w:i w:val="0"/>
          <w:sz w:val="24"/>
        </w:rPr>
        <w:t xml:space="preserve">, </w:t>
      </w:r>
      <w:r>
        <w:rPr>
          <w:rFonts w:ascii="Times New Roman" w:hAnsi="Times New Roman" w:eastAsia="MS Mincho"/>
          <w:b w:val="0"/>
          <w:i/>
          <w:sz w:val="24"/>
        </w:rPr>
        <w:t>5</w:t>
      </w:r>
      <w:r>
        <w:rPr>
          <w:rFonts w:ascii="Times New Roman" w:hAnsi="Times New Roman" w:eastAsia="MS Mincho"/>
          <w:b w:val="0"/>
          <w:i w:val="0"/>
          <w:sz w:val="24"/>
        </w:rPr>
        <w:t>(1), 206–235. https://doi.org/10.1006/redy.2001.0149</w:t>
      </w:r>
    </w:p>
    <w:p>
      <w:pPr>
        <w:spacing w:after="120" w:line="360" w:lineRule="auto"/>
        <w:ind w:firstLine="480"/>
      </w:pPr>
      <w:r>
        <w:rPr>
          <w:rFonts w:ascii="Times New Roman" w:hAnsi="Times New Roman" w:eastAsia="MS Mincho"/>
          <w:b w:val="0"/>
          <w:i w:val="0"/>
          <w:sz w:val="24"/>
        </w:rPr>
        <w:t xml:space="preserve">Hulten, C. 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82</w:t>
      </w:r>
      <w:r>
        <w:rPr>
          <w:rFonts w:ascii="Times New Roman" w:hAnsi="Times New Roman" w:eastAsia="MS Mincho"/>
          <w:b w:val="0"/>
          <w:i w:val="0"/>
          <w:sz w:val="24"/>
        </w:rPr>
        <w:t>(4), 964–980.</w:t>
      </w:r>
    </w:p>
    <w:p>
      <w:pPr>
        <w:spacing w:after="120" w:line="360" w:lineRule="auto"/>
        <w:ind w:firstLine="480"/>
      </w:pPr>
      <w:r>
        <w:rPr>
          <w:rFonts w:ascii="Times New Roman" w:hAnsi="Times New Roman" w:eastAsia="MS Mincho"/>
          <w:b w:val="0"/>
          <w:i w:val="0"/>
          <w:sz w:val="24"/>
        </w:rPr>
        <w:t>Inklaar, R., &amp; Timmer, M. P. (2013). Capital, labor and TFP in PWT 8.0 (Research Memorandum GD-144). Groningen Growth and Development Centre.</w:t>
      </w:r>
    </w:p>
    <w:p>
      <w:pPr>
        <w:spacing w:after="120" w:line="360" w:lineRule="auto"/>
        <w:ind w:firstLine="480"/>
      </w:pPr>
      <w:r>
        <w:rPr>
          <w:rFonts w:ascii="Times New Roman" w:hAnsi="Times New Roman" w:eastAsia="MS Mincho"/>
          <w:b w:val="0"/>
          <w:i w:val="0"/>
          <w:sz w:val="24"/>
        </w:rPr>
        <w:t xml:space="preserve">Jorgenson, D. W., &amp;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w:t>
      </w:r>
      <w:r>
        <w:rPr>
          <w:rFonts w:ascii="Times New Roman" w:hAnsi="Times New Roman" w:eastAsia="MS Mincho"/>
          <w:b w:val="0"/>
          <w:i/>
          <w:sz w:val="24"/>
        </w:rPr>
        <w:t>34</w:t>
      </w:r>
      <w:r>
        <w:rPr>
          <w:rFonts w:ascii="Times New Roman" w:hAnsi="Times New Roman" w:eastAsia="MS Mincho"/>
          <w:b w:val="0"/>
          <w:i w:val="0"/>
          <w:sz w:val="24"/>
        </w:rPr>
        <w:t>(3), 249–283. https://doi.org/10.2307/2296675</w:t>
      </w:r>
    </w:p>
    <w:p>
      <w:pPr>
        <w:spacing w:after="120" w:line="360" w:lineRule="auto"/>
        <w:ind w:firstLine="480"/>
      </w:pPr>
      <w:r>
        <w:rPr>
          <w:rFonts w:ascii="Times New Roman" w:hAnsi="Times New Roman" w:eastAsia="MS Mincho"/>
          <w:b w:val="0"/>
          <w:i w:val="0"/>
          <w:sz w:val="24"/>
        </w:rPr>
        <w:t xml:space="preserve">Jorgenson, D. 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w:t>
      </w:r>
      <w:r>
        <w:rPr>
          <w:rFonts w:ascii="Times New Roman" w:hAnsi="Times New Roman" w:eastAsia="MS Mincho"/>
          <w:b w:val="0"/>
          <w:i/>
          <w:sz w:val="24"/>
        </w:rPr>
        <w:t>56</w:t>
      </w:r>
      <w:r>
        <w:rPr>
          <w:rFonts w:ascii="Times New Roman" w:hAnsi="Times New Roman" w:eastAsia="MS Mincho"/>
          <w:b w:val="0"/>
          <w:i w:val="0"/>
          <w:sz w:val="24"/>
        </w:rPr>
        <w:t>(3), 867–919. https://doi.org/10.1257/jel.20171358</w:t>
      </w:r>
    </w:p>
    <w:p>
      <w:pPr>
        <w:spacing w:after="120" w:line="360" w:lineRule="auto"/>
        <w:ind w:firstLine="480"/>
      </w:pPr>
      <w:r>
        <w:rPr>
          <w:rFonts w:ascii="Times New Roman" w:hAnsi="Times New Roman" w:eastAsia="MS Mincho"/>
          <w:b w:val="0"/>
          <w:i w:val="0"/>
          <w:sz w:val="24"/>
        </w:rPr>
        <w:t xml:space="preserve">Jorgenson, D. W., Ho, M. S., &amp; Stiroh, K. 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MIT Press.</w:t>
      </w:r>
    </w:p>
    <w:p>
      <w:pPr>
        <w:spacing w:after="120" w:line="360" w:lineRule="auto"/>
        <w:ind w:firstLine="480"/>
      </w:pPr>
      <w:r>
        <w:rPr>
          <w:rFonts w:ascii="Times New Roman" w:hAnsi="Times New Roman" w:eastAsia="MS Mincho"/>
          <w:b w:val="0"/>
          <w:i w:val="0"/>
          <w:sz w:val="24"/>
        </w:rPr>
        <w:t xml:space="preserve">Kaboski, J. 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w:t>
      </w:r>
      <w:r>
        <w:rPr>
          <w:rFonts w:ascii="Times New Roman" w:hAnsi="Times New Roman" w:eastAsia="MS Mincho"/>
          <w:b w:val="0"/>
          <w:i/>
          <w:sz w:val="24"/>
        </w:rPr>
        <w:t>29</w:t>
      </w:r>
      <w:r>
        <w:rPr>
          <w:rFonts w:ascii="Times New Roman" w:hAnsi="Times New Roman" w:eastAsia="MS Mincho"/>
          <w:b w:val="0"/>
          <w:i w:val="0"/>
          <w:sz w:val="24"/>
        </w:rPr>
        <w:t>(3), 509–527. https://doi.org/10.1016/j.jedc.2004.02.004</w:t>
      </w:r>
    </w:p>
    <w:p>
      <w:pPr>
        <w:spacing w:after="120" w:line="360" w:lineRule="auto"/>
        <w:ind w:firstLine="480"/>
      </w:pPr>
      <w:r>
        <w:rPr>
          <w:rFonts w:ascii="Times New Roman" w:hAnsi="Times New Roman" w:eastAsia="MS Mincho"/>
          <w:b w:val="0"/>
          <w:i w:val="0"/>
          <w:sz w:val="24"/>
        </w:rPr>
        <w:t>Koeva, P. (2000). The facts about time-to-build (IMF Working Paper 00/138). International Monetary Fund.</w:t>
      </w:r>
    </w:p>
    <w:p>
      <w:pPr>
        <w:spacing w:after="120" w:line="360" w:lineRule="auto"/>
        <w:ind w:firstLine="480"/>
      </w:pPr>
      <w:r>
        <w:rPr>
          <w:rFonts w:ascii="Times New Roman" w:hAnsi="Times New Roman" w:eastAsia="MS Mincho"/>
          <w:b w:val="0"/>
          <w:i w:val="0"/>
          <w:sz w:val="24"/>
        </w:rPr>
        <w:t xml:space="preserve">Kohler, H.-P., Billari, F. C., &amp; Ortega, J. 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w:t>
      </w:r>
      <w:r>
        <w:rPr>
          <w:rFonts w:ascii="Times New Roman" w:hAnsi="Times New Roman" w:eastAsia="MS Mincho"/>
          <w:b w:val="0"/>
          <w:i/>
          <w:sz w:val="24"/>
        </w:rPr>
        <w:t>28</w:t>
      </w:r>
      <w:r>
        <w:rPr>
          <w:rFonts w:ascii="Times New Roman" w:hAnsi="Times New Roman" w:eastAsia="MS Mincho"/>
          <w:b w:val="0"/>
          <w:i w:val="0"/>
          <w:sz w:val="24"/>
        </w:rPr>
        <w:t>(4), 641–680. https://doi.org/10.1111/j.1728-4457.2002.00641.x</w:t>
      </w:r>
    </w:p>
    <w:p>
      <w:pPr>
        <w:spacing w:after="120" w:line="360" w:lineRule="auto"/>
        <w:ind w:firstLine="480"/>
      </w:pPr>
      <w:r>
        <w:rPr>
          <w:rFonts w:ascii="Times New Roman" w:hAnsi="Times New Roman" w:eastAsia="MS Mincho"/>
          <w:b w:val="0"/>
          <w:i w:val="0"/>
          <w:sz w:val="24"/>
        </w:rPr>
        <w:t xml:space="preserve">Kydland, F. E., &amp; Prescott, E. 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w:t>
      </w:r>
      <w:r>
        <w:rPr>
          <w:rFonts w:ascii="Times New Roman" w:hAnsi="Times New Roman" w:eastAsia="MS Mincho"/>
          <w:b w:val="0"/>
          <w:i/>
          <w:sz w:val="24"/>
        </w:rPr>
        <w:t>50</w:t>
      </w:r>
      <w:r>
        <w:rPr>
          <w:rFonts w:ascii="Times New Roman" w:hAnsi="Times New Roman" w:eastAsia="MS Mincho"/>
          <w:b w:val="0"/>
          <w:i w:val="0"/>
          <w:sz w:val="24"/>
        </w:rPr>
        <w:t>(6), 1345–1370. https://doi.org/10.2307/1913386</w:t>
      </w:r>
    </w:p>
    <w:p>
      <w:pPr>
        <w:spacing w:after="120" w:line="360" w:lineRule="auto"/>
        <w:ind w:firstLine="480"/>
      </w:pPr>
      <w:r>
        <w:rPr>
          <w:rFonts w:ascii="Times New Roman" w:hAnsi="Times New Roman" w:eastAsia="MS Mincho"/>
          <w:b w:val="0"/>
          <w:i w:val="0"/>
          <w:sz w:val="24"/>
        </w:rPr>
        <w:t xml:space="preserve">Lange, G.-M., Wodon, Q., &amp;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World Bank. https://doi.org/10.1596/978-1-4648-1046-6</w:t>
      </w:r>
    </w:p>
    <w:p>
      <w:pPr>
        <w:spacing w:after="120" w:line="360" w:lineRule="auto"/>
        <w:ind w:firstLine="480"/>
      </w:pPr>
      <w:r>
        <w:rPr>
          <w:rFonts w:ascii="Times New Roman" w:hAnsi="Times New Roman" w:eastAsia="MS Mincho"/>
          <w:b w:val="0"/>
          <w:i w:val="0"/>
          <w:sz w:val="24"/>
        </w:rPr>
        <w:t xml:space="preserve">Managi, S., &amp;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Routledge.</w:t>
      </w:r>
    </w:p>
    <w:p>
      <w:pPr>
        <w:spacing w:after="120" w:line="36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w:t>
      </w:r>
      <w:r>
        <w:rPr>
          <w:rFonts w:ascii="Times New Roman" w:hAnsi="Times New Roman" w:eastAsia="MS Mincho"/>
          <w:b w:val="0"/>
          <w:i/>
          <w:sz w:val="24"/>
        </w:rPr>
        <w:t>33</w:t>
      </w:r>
      <w:r>
        <w:rPr>
          <w:rFonts w:ascii="Times New Roman" w:hAnsi="Times New Roman" w:eastAsia="MS Mincho"/>
          <w:b w:val="0"/>
          <w:i w:val="0"/>
          <w:sz w:val="24"/>
        </w:rPr>
        <w:t>(2), 127–132. https://doi.org/10.1086/294329</w:t>
      </w:r>
    </w:p>
    <w:p>
      <w:pPr>
        <w:spacing w:after="120" w:line="360" w:lineRule="auto"/>
        <w:ind w:firstLine="480"/>
      </w:pPr>
      <w:r>
        <w:rPr>
          <w:rFonts w:ascii="Times New Roman" w:hAnsi="Times New Roman" w:eastAsia="MS Mincho"/>
          <w:b w:val="0"/>
          <w:i w:val="0"/>
          <w:sz w:val="24"/>
        </w:rPr>
        <w:t xml:space="preserve">McGrattan, E. R., &amp; Prescott, E. C. (2010). Unmeasured investment and the puzzling US boom in the 1990s. </w:t>
      </w:r>
      <w:r>
        <w:rPr>
          <w:rFonts w:ascii="Times New Roman" w:hAnsi="Times New Roman" w:eastAsia="MS Mincho"/>
          <w:b w:val="0"/>
          <w:i/>
          <w:sz w:val="24"/>
        </w:rPr>
        <w:t>American Economic Journal: Macroeconomics</w:t>
      </w:r>
      <w:r>
        <w:rPr>
          <w:rFonts w:ascii="Times New Roman" w:hAnsi="Times New Roman" w:eastAsia="MS Mincho"/>
          <w:b w:val="0"/>
          <w:i w:val="0"/>
          <w:sz w:val="24"/>
        </w:rPr>
        <w:t xml:space="preserve">, </w:t>
      </w:r>
      <w:r>
        <w:rPr>
          <w:rFonts w:ascii="Times New Roman" w:hAnsi="Times New Roman" w:eastAsia="MS Mincho"/>
          <w:b w:val="0"/>
          <w:i/>
          <w:sz w:val="24"/>
        </w:rPr>
        <w:t>2</w:t>
      </w:r>
      <w:r>
        <w:rPr>
          <w:rFonts w:ascii="Times New Roman" w:hAnsi="Times New Roman" w:eastAsia="MS Mincho"/>
          <w:b w:val="0"/>
          <w:i w:val="0"/>
          <w:sz w:val="24"/>
        </w:rPr>
        <w:t>(4), 88–123. https://doi.org/10.1257/mac.2.4.88</w:t>
      </w:r>
    </w:p>
    <w:p>
      <w:pPr>
        <w:spacing w:after="120" w:line="360" w:lineRule="auto"/>
        <w:ind w:firstLine="480"/>
      </w:pPr>
      <w:r>
        <w:rPr>
          <w:rFonts w:ascii="Times New Roman" w:hAnsi="Times New Roman" w:eastAsia="MS Mincho"/>
          <w:b w:val="0"/>
          <w:i w:val="0"/>
          <w:sz w:val="24"/>
        </w:rPr>
        <w:t>Nishimura, K. G., &amp; Saita, Y. (2005). Land prices in Japan: Historical and international comparisons (Bank of Japan Review 2005-E-5). Bank of Japan.</w:t>
      </w:r>
    </w:p>
    <w:p>
      <w:pPr>
        <w:spacing w:after="120" w:line="36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OECD Publishing. https://doi.org/10.1787/9789264193307-en</w:t>
      </w:r>
    </w:p>
    <w:p>
      <w:pPr>
        <w:spacing w:after="120" w:line="360" w:lineRule="auto"/>
        <w:ind w:firstLine="480"/>
      </w:pPr>
      <w:r>
        <w:rPr>
          <w:rFonts w:ascii="Times New Roman" w:hAnsi="Times New Roman" w:eastAsia="MS Mincho"/>
          <w:b w:val="0"/>
          <w:i w:val="0"/>
          <w:sz w:val="24"/>
        </w:rPr>
        <w:t xml:space="preserve">Roth, F. (2022). Intangible capital and labor productivity growth – Revisiting the evidence: An update.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w:t>
      </w:r>
      <w:r>
        <w:rPr>
          <w:rFonts w:ascii="Times New Roman" w:hAnsi="Times New Roman" w:eastAsia="MS Mincho"/>
          <w:b w:val="0"/>
          <w:i/>
          <w:sz w:val="24"/>
        </w:rPr>
        <w:t>11</w:t>
      </w:r>
      <w:r>
        <w:rPr>
          <w:rFonts w:ascii="Times New Roman" w:hAnsi="Times New Roman" w:eastAsia="MS Mincho"/>
          <w:b w:val="0"/>
          <w:i w:val="0"/>
          <w:sz w:val="24"/>
        </w:rPr>
        <w:t>.</w:t>
      </w:r>
    </w:p>
    <w:p>
      <w:pPr>
        <w:spacing w:after="120" w:line="360" w:lineRule="auto"/>
        <w:ind w:firstLine="480"/>
      </w:pPr>
      <w:r>
        <w:rPr>
          <w:rFonts w:ascii="Times New Roman" w:hAnsi="Times New Roman" w:eastAsia="MS Mincho"/>
          <w:b w:val="0"/>
          <w:i w:val="0"/>
          <w:sz w:val="24"/>
        </w:rPr>
        <w:t xml:space="preserve">Smets, F., &amp;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w:t>
      </w:r>
      <w:r>
        <w:rPr>
          <w:rFonts w:ascii="Times New Roman" w:hAnsi="Times New Roman" w:eastAsia="MS Mincho"/>
          <w:b w:val="0"/>
          <w:i/>
          <w:sz w:val="24"/>
        </w:rPr>
        <w:t>97</w:t>
      </w:r>
      <w:r>
        <w:rPr>
          <w:rFonts w:ascii="Times New Roman" w:hAnsi="Times New Roman" w:eastAsia="MS Mincho"/>
          <w:b w:val="0"/>
          <w:i w:val="0"/>
          <w:sz w:val="24"/>
        </w:rPr>
        <w:t>(3), 586–606. https://doi.org/10.1257/aer.97.3.586</w:t>
      </w:r>
    </w:p>
    <w:p>
      <w:pPr>
        <w:spacing w:after="120" w:line="360" w:lineRule="auto"/>
        <w:ind w:firstLine="480"/>
      </w:pPr>
      <w:r>
        <w:rPr>
          <w:rFonts w:ascii="Times New Roman" w:hAnsi="Times New Roman" w:eastAsia="MS Mincho"/>
          <w:b w:val="0"/>
          <w:i w:val="0"/>
          <w:sz w:val="24"/>
        </w:rPr>
        <w:t xml:space="preserve">Solow, R. 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w:t>
      </w:r>
      <w:r>
        <w:rPr>
          <w:rFonts w:ascii="Times New Roman" w:hAnsi="Times New Roman" w:eastAsia="MS Mincho"/>
          <w:b w:val="0"/>
          <w:i/>
          <w:sz w:val="24"/>
        </w:rPr>
        <w:t>39</w:t>
      </w:r>
      <w:r>
        <w:rPr>
          <w:rFonts w:ascii="Times New Roman" w:hAnsi="Times New Roman" w:eastAsia="MS Mincho"/>
          <w:b w:val="0"/>
          <w:i w:val="0"/>
          <w:sz w:val="24"/>
        </w:rPr>
        <w:t>(3), 312–320. https://doi.org/10.2307/1926047</w:t>
      </w:r>
    </w:p>
    <w:p>
      <w:pPr>
        <w:spacing w:after="120" w:line="360" w:lineRule="auto"/>
        <w:ind w:firstLine="480"/>
      </w:pPr>
      <w:r>
        <w:rPr>
          <w:rFonts w:ascii="Times New Roman" w:hAnsi="Times New Roman" w:eastAsia="MS Mincho"/>
          <w:b w:val="0"/>
          <w:i w:val="0"/>
          <w:sz w:val="24"/>
        </w:rPr>
        <w:t xml:space="preserve">Stiglitz, J. E., Sen, A., &amp;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Commission on the Measurement of Economic Performance and Social Progress.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