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 w:line="360" w:lineRule="auto"/>
      </w:pPr>
      <w:r>
        <w:rPr>
          <w:rFonts w:ascii="Times New Roman" w:hAnsi="Times New Roman" w:eastAsia="MS Mincho"/>
          <w:b/>
          <w:i w:val="0"/>
          <w:sz w:val="28"/>
        </w:rPr>
        <w:t>Table 3. Relational PIM diagnostics: rho_2 summary under M0, M1, M2, M4.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  <w:top w:val="single" w:sz="4" w:space="0" w:color="000000"/>
          <w:bottom w:val="single" w:sz="4" w:space="0" w:color="000000"/>
          <w:insideH w:val="single" w:sz="4" w:space="0" w:color="000000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Model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rho2 median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rho2 IQR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rho1 median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R2 median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N(rho2 in 0.9-1.1)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N total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M0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0.801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[0.701, 0.911]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-7.51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0.991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39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M1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0.799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[0.651, 0.911]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-7.25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0.988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39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M2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0.799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[0.663, 0.924]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-7.19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0.986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39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M4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0.833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[0.715, 0.930]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-8.32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0.991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39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