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Abstract</w:t>
      </w:r>
    </w:p>
    <w:p>
      <w:pPr>
        <w:spacing w:line="480" w:lineRule="auto" w:after="120"/>
      </w:pPr>
      <w:r>
        <w:rPr>
          <w:b/>
        </w:rPr>
        <w:t xml:space="preserve">Background: </w:t>
      </w:r>
      <w:r>
        <w:t>Ambient heat is an established mortality risk factor; because driving continues in heat, fatal crashes may involve heat-related impairment or unrecorded heat illness.</w:t>
      </w:r>
    </w:p>
    <w:p>
      <w:pPr>
        <w:spacing w:line="480" w:lineRule="auto" w:after="120"/>
      </w:pPr>
      <w:r>
        <w:rPr>
          <w:b/>
        </w:rPr>
        <w:t xml:space="preserve">Objectives: </w:t>
      </w:r>
      <w:r>
        <w:t>We quantified the acute association between local heat anomalies and daily traffic-crash mortality in the US and Japan.</w:t>
      </w:r>
    </w:p>
    <w:p>
      <w:pPr>
        <w:spacing w:line="480" w:lineRule="auto" w:after="120"/>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line="480" w:lineRule="auto" w:after="120"/>
      </w:pPr>
      <w:r>
        <w:rPr>
          <w:b/>
        </w:rPr>
        <w:t xml:space="preserve">Results: </w:t>
      </w:r>
      <w:r>
        <w:t>In the USA (272,586 crash deaths), a +9°C anomaly raised same-day crash mortality, RR 1.165 (95% CI 1.135-1.196), and remained similar in a VIF-screened full-controls model (VIF threshold 10; retained log-population offset, daily precipitation and estimated WBGT anomaly; iteratively dropped vmt_state, humidex_anom, heat_index_anom; RR 1.170 (1.122-1.219); cumulative RR 1.086 (1.019-1.157)). The excess was larger for open-air users (motorcyclists RR 2.140, pedestrians RR 1.215) than vehicle occupants (RR 1.050). Net heat-attributable deaths were 528 per year (1.36%), similar to 527 recorded direct-heat deaths (ICD-10 X30); +1 to +3°C warming projected 347-1009 additional deaths per year. Japan data (11,576 deaths) were too sparse for a precise estimate.</w:t>
      </w:r>
    </w:p>
    <w:p>
      <w:pPr>
        <w:spacing w:line="480" w:lineRule="auto" w:after="120"/>
      </w:pPr>
      <w:r>
        <w:rPr>
          <w:b/>
        </w:rPr>
        <w:t xml:space="preserve">Discussion: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line="480" w:lineRule="auto" w:after="120"/>
      </w:pPr>
      <w:r>
        <w:rPr>
          <w:b/>
        </w:rPr>
        <w:t xml:space="preserve">Keywords: </w:t>
      </w:r>
      <w:r>
        <w:t>heat; traffic crash; mortality; climate change; road safety; distributed-lag model</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5</w:t>
      </w:r>
      <w:r>
        <w:t xml:space="preserve"> and by Japanese prefecture (National Police Agency [NPA] accident open data, 2019-2024).</w:t>
      </w:r>
      <w:r>
        <w:rPr>
          <w:vertAlign w:val="superscript"/>
        </w:rPr>
        <w:t>6</w:t>
      </w:r>
      <w:r>
        <w:t xml:space="preserve"> Daily mean temperature was taken from the Global Historical Climatology Network-Daily (GHCN-Daily) stations</w:t>
      </w:r>
      <w:r>
        <w:rPr>
          <w:vertAlign w:val="superscript"/>
        </w:rPr>
        <w:t>7</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9</w:t>
      </w:r>
      <w:r>
        <w:t xml:space="preserve"> with Monte Carlo (MC) confidence intervals (CIs). As sensitivity analyses for the US we added (i) national vehicle-miles travelled (VMT)</w:t>
      </w:r>
      <w:r>
        <w:rPr>
          <w:vertAlign w:val="superscript"/>
        </w:rPr>
        <w:t>10</w:t>
      </w:r>
      <w:r>
        <w:t xml:space="preserve"> and finished-motor-gasoline product supplied</w:t>
      </w:r>
      <w:r>
        <w:rPr>
          <w:vertAlign w:val="superscript"/>
        </w:rPr>
        <w:t>11</w:t>
      </w:r>
      <w:r>
        <w:t xml:space="preserve"> as activity proxies, and (ii) a richer control set with state annual population entered as a log offset</w:t>
      </w:r>
      <w:r>
        <w:rPr>
          <w:vertAlign w:val="superscript"/>
        </w:rPr>
        <w:t>12</w:t>
      </w:r>
      <w:r>
        <w:t>, state annual VMT</w:t>
      </w:r>
      <w:r>
        <w:rPr>
          <w:vertAlign w:val="superscript"/>
        </w:rPr>
        <w:t>13</w:t>
      </w:r>
      <w:r>
        <w:t xml:space="preserve"> and daily state precipitation, all as z-scored linear terms except the population offset, plus GHCN-derived heat-stress metrics (humidex, NOAA heat index, and an estimated wet-bulb globe temperature) expressed as anomalies relative to their day-of-year climatology. Because heat-stress metrics are functions of temperature and can be collinear with the anomaly exposure, we selected the primary full-controls model by a variance-inflation-factor (VIF) screen (iteratively dropping added controls with VIF &gt; 10). A stricter VIF &lt; 5 screen and an unscreened model retaining all candidate controls were also fitted and reported as sensitivity analyses. Heat-stress metrics were tested individually because they are functions of temperature. State fixed effects capture time-invariant cross-state differences in baseline risk, while the log-population offset scales expected counts within each state across years; because state annual VMT is correlated with population size, the two partly adjust for the same scale factor, so their simultaneous use is reported as a sensitivity analysis rather than the primary specification. Officially recorded direct-heat deaths (International Classification of Diseases, 10th revision [ICD-10] code X30) were obtained from CDC WONDER.</w:t>
      </w:r>
      <w:r>
        <w:rPr>
          <w:vertAlign w:val="superscript"/>
        </w:rPr>
        <w:t>14</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272,586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272,586</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1.135-1.196), with a cumulative lag 0-10 RR of 1.076 (95% CI 1.017-1.139).</w:t>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0.936 (0.904-0.968), consistent with short-term displacement (harvesting) rather than a net addition of deaths (Fig. 3; Table 2). The same-day association was essentially unchanged after adjusting for national vehicle-miles travelled and gasoline supplied (RR 1.163, 95% CI 1.133-1.194; cumulative RR 1.075 (1.015-1.138)). A variance-inflation-factor (VIF) screened full-controls model—starting with state population as a log offset plus z-scored state annual VMT, daily precipitation and the three heat-stress metrics, then iteratively dropping any added control with VIF &gt; 10—retained log-population offset, daily precipitation and estimated WBGT anomaly. Iteratively dropped variables were vmt_state, humidex_anom, heat_index_anom. Its same-day RR remained similar (RR 1.170 (1.122-1.219)), but the cumulative 0-10 day RR was attenuated (RR 1.086 (1.019-1.157)). A stricter VIF &lt; 5 screen retained daily precipitation (RR 1.165 (1.135-1.196); cumulative RR 1.083 (1.023-1.146)), while the unscreened full-controls model attenuated toward the null (RR 1.070 (1.021-1.121); cumulative RR 1.005 (0.941-1.073); max control VIF 323.8). Heat-stress metrics were tested individually because they are functions of temperature and can be collinear with the anomaly; they yielded variable same-day estimates and the heat-index model attenuated toward the null.</w:t>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(1.135-1.196)</w:t>
            </w:r>
          </w:p>
        </w:tc>
        <w:tc>
          <w:tcPr>
            <w:tcW w:type="dxa" w:w="2880"/>
          </w:tcPr>
          <w:p>
            <w:r>
              <w:t>0.940 (0.743-1.190)</w:t>
            </w:r>
          </w:p>
        </w:tc>
      </w:tr>
      <w:tr>
        <w:tc>
          <w:tcPr>
            <w:tcW w:type="dxa" w:w="2880"/>
          </w:tcPr>
          <w:p>
            <w:r>
              <w:t>1-3</w:t>
            </w:r>
          </w:p>
        </w:tc>
        <w:tc>
          <w:tcPr>
            <w:tcW w:type="dxa" w:w="2880"/>
          </w:tcPr>
          <w:p>
            <w:r>
              <w:t>0.936 (0.904-0.968)</w:t>
            </w:r>
          </w:p>
        </w:tc>
        <w:tc>
          <w:tcPr>
            <w:tcW w:type="dxa" w:w="2880"/>
          </w:tcPr>
          <w:p>
            <w:r>
              <w:t>1.146 (0.739-1.779)</w:t>
            </w:r>
          </w:p>
        </w:tc>
      </w:tr>
      <w:tr>
        <w:tc>
          <w:tcPr>
            <w:tcW w:type="dxa" w:w="2880"/>
          </w:tcPr>
          <w:p>
            <w:r>
              <w:t>4-10</w:t>
            </w:r>
          </w:p>
        </w:tc>
        <w:tc>
          <w:tcPr>
            <w:tcW w:type="dxa" w:w="2880"/>
          </w:tcPr>
          <w:p>
            <w:r>
              <w:t>0.987 (0.941-1.036)</w:t>
            </w:r>
          </w:p>
        </w:tc>
        <w:tc>
          <w:tcPr>
            <w:tcW w:type="dxa" w:w="2880"/>
          </w:tcPr>
          <w:p>
            <w:r>
              <w:t>0.521 (0.217-1.249)</w:t>
            </w:r>
          </w:p>
        </w:tc>
      </w:tr>
      <w:tr>
        <w:tc>
          <w:tcPr>
            <w:tcW w:type="dxa" w:w="2880"/>
          </w:tcPr>
          <w:p>
            <w:r>
              <w:t>Cumulative 0-10</w:t>
            </w:r>
          </w:p>
        </w:tc>
        <w:tc>
          <w:tcPr>
            <w:tcW w:type="dxa" w:w="2880"/>
          </w:tcPr>
          <w:p>
            <w:r>
              <w:t>1.076 (95% CI 1.017-1.139)</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(1.017-1.085), but much larger for open-air users: motorcyclists, RR 2.140 (2.000-2.290); pedestrians, RR 1.215 (1.147-1.288); and cyclists, RR 1.243 (1.038-1.490), a pattern consistent with direct bodily heat exposure and physical exertion.</w:t>
      </w:r>
      <w:r>
        <w:rPr>
          <w:vertAlign w:val="superscript"/>
        </w:rPr>
        <w:t>15</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(1.059-1.190); 25-64 y RR 1.176 (1.139-1.215); 65+ y RR 1.176 (1.113-1.242) (Table 3), giving no clear age gradient. Second, the excess was largest for crashes in the hottest part of the day (12-17 h), RR 1.217 (1.160-1.276), and weakest in the cool morning (06-11 h), RR 1.062 (1.001-1.127); the overnight band was also elevated (00-05 h), RR 1.176 (1.108-1.249), so the diurnal pattern is not a clean daytime-only gradient (Fig. 5). These subgroup analyses are hypothesis-generating: they involve multiple unadjusted comparisons and are not individual-level tests of susceptibility or mechanism.</w:t>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 This subgroup analysis is exploratory and is not adjusted for multiple comparisons.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179,618</w:t>
            </w:r>
          </w:p>
        </w:tc>
        <w:tc>
          <w:tcPr>
            <w:tcW w:type="dxa" w:w="2880"/>
          </w:tcPr>
          <w:p>
            <w:r>
              <w:t>1.050 (1.017-1.085)</w:t>
            </w:r>
          </w:p>
        </w:tc>
      </w:tr>
      <w:tr>
        <w:tc>
          <w:tcPr>
            <w:tcW w:type="dxa" w:w="2880"/>
          </w:tcPr>
          <w:p>
            <w:r>
              <w:t>Motorcyclist</w:t>
            </w:r>
          </w:p>
        </w:tc>
        <w:tc>
          <w:tcPr>
            <w:tcW w:type="dxa" w:w="2880"/>
          </w:tcPr>
          <w:p>
            <w:r>
              <w:t>38,644</w:t>
            </w:r>
          </w:p>
        </w:tc>
        <w:tc>
          <w:tcPr>
            <w:tcW w:type="dxa" w:w="2880"/>
          </w:tcPr>
          <w:p>
            <w:r>
              <w:t>2.140 (2.000-2.290)</w:t>
            </w:r>
          </w:p>
        </w:tc>
      </w:tr>
      <w:tr>
        <w:tc>
          <w:tcPr>
            <w:tcW w:type="dxa" w:w="2880"/>
          </w:tcPr>
          <w:p>
            <w:r>
              <w:t>Pedestrian</w:t>
            </w:r>
          </w:p>
        </w:tc>
        <w:tc>
          <w:tcPr>
            <w:tcW w:type="dxa" w:w="2880"/>
          </w:tcPr>
          <w:p>
            <w:r>
              <w:t>46,429</w:t>
            </w:r>
          </w:p>
        </w:tc>
        <w:tc>
          <w:tcPr>
            <w:tcW w:type="dxa" w:w="2880"/>
          </w:tcPr>
          <w:p>
            <w:r>
              <w:t>1.215 (1.147-1.288)</w:t>
            </w:r>
          </w:p>
        </w:tc>
      </w:tr>
      <w:tr>
        <w:tc>
          <w:tcPr>
            <w:tcW w:type="dxa" w:w="2880"/>
          </w:tcPr>
          <w:p>
            <w:r>
              <w:t>Cyclist</w:t>
            </w:r>
          </w:p>
        </w:tc>
        <w:tc>
          <w:tcPr>
            <w:tcW w:type="dxa" w:w="2880"/>
          </w:tcPr>
          <w:p>
            <w:r>
              <w:t>6,382</w:t>
            </w:r>
          </w:p>
        </w:tc>
        <w:tc>
          <w:tcPr>
            <w:tcW w:type="dxa" w:w="2880"/>
          </w:tcPr>
          <w:p>
            <w:r>
              <w:t>1.243 (1.038-1.490)</w:t>
            </w:r>
          </w:p>
        </w:tc>
      </w:tr>
      <w:tr>
        <w:tc>
          <w:tcPr>
            <w:tcW w:type="dxa" w:w="2880"/>
          </w:tcPr>
          <w:p>
            <w:r>
              <w:t>Age &lt;25 y</w:t>
            </w:r>
          </w:p>
        </w:tc>
        <w:tc>
          <w:tcPr>
            <w:tcW w:type="dxa" w:w="2880"/>
          </w:tcPr>
          <w:p>
            <w:r>
              <w:t>54,404</w:t>
            </w:r>
          </w:p>
        </w:tc>
        <w:tc>
          <w:tcPr>
            <w:tcW w:type="dxa" w:w="2880"/>
          </w:tcPr>
          <w:p>
            <w:r>
              <w:t>1.123 (1.059-1.190)</w:t>
            </w:r>
          </w:p>
        </w:tc>
      </w:tr>
      <w:tr>
        <w:tc>
          <w:tcPr>
            <w:tcW w:type="dxa" w:w="2880"/>
          </w:tcPr>
          <w:p>
            <w:r>
              <w:t>Age 25-64 y</w:t>
            </w:r>
          </w:p>
        </w:tc>
        <w:tc>
          <w:tcPr>
            <w:tcW w:type="dxa" w:w="2880"/>
          </w:tcPr>
          <w:p>
            <w:r>
              <w:t>168,001</w:t>
            </w:r>
          </w:p>
        </w:tc>
        <w:tc>
          <w:tcPr>
            <w:tcW w:type="dxa" w:w="2880"/>
          </w:tcPr>
          <w:p>
            <w:r>
              <w:t>1.176 (1.139-1.215)</w:t>
            </w:r>
          </w:p>
        </w:tc>
      </w:tr>
      <w:tr>
        <w:tc>
          <w:tcPr>
            <w:tcW w:type="dxa" w:w="2880"/>
          </w:tcPr>
          <w:p>
            <w:r>
              <w:t>Age 65+ y</w:t>
            </w:r>
          </w:p>
        </w:tc>
        <w:tc>
          <w:tcPr>
            <w:tcW w:type="dxa" w:w="2880"/>
          </w:tcPr>
          <w:p>
            <w:r>
              <w:t>50,068</w:t>
            </w:r>
          </w:p>
        </w:tc>
        <w:tc>
          <w:tcPr>
            <w:tcW w:type="dxa" w:w="2880"/>
          </w:tcPr>
          <w:p>
            <w:r>
              <w:t>1.176 (1.113-1.242)</w:t>
            </w:r>
          </w:p>
        </w:tc>
      </w:tr>
    </w:tbl>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w:t>
      </w:r>
    </w:p>
    <w:p/>
    <w:p>
      <w:pPr>
        <w:spacing w:after="120" w:line="480" w:lineRule="auto"/>
      </w:pPr>
      <w:r>
        <w:t>Net heat-attributable crash deaths were 528 per year (95% CI 425-631), an attributable fraction of 1.36% (Fig. 6; Table 4). This is of the same order as the 527 officially recorded direct-heat deaths per year (ICD-10 X30, 2016-2020; Fig. 7), so a heat contribution to road deaths on the scale of recorded direct-heat mortality could go unrecorded in cause-of-death statistics.</w:t>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528</w:t>
            </w:r>
          </w:p>
        </w:tc>
      </w:tr>
      <w:tr>
        <w:tc>
          <w:tcPr>
            <w:tcW w:type="dxa" w:w="4320"/>
          </w:tcPr>
          <w:p>
            <w:r>
              <w:t>Attributable fraction (%)</w:t>
            </w:r>
          </w:p>
        </w:tc>
        <w:tc>
          <w:tcPr>
            <w:tcW w:type="dxa" w:w="4320"/>
          </w:tcPr>
          <w:p>
            <w:r>
              <w:t>1.36</w:t>
            </w:r>
          </w:p>
        </w:tc>
      </w:tr>
      <w:tr>
        <w:tc>
          <w:tcPr>
            <w:tcW w:type="dxa" w:w="4320"/>
          </w:tcPr>
          <w:p>
            <w:r>
              <w:t>Official direct-heat deaths / year (X30, 2016-2020)</w:t>
            </w:r>
          </w:p>
        </w:tc>
        <w:tc>
          <w:tcPr>
            <w:tcW w:type="dxa" w:w="4320"/>
          </w:tcPr>
          <w:p>
            <w:r>
              <w:t>527</w:t>
            </w:r>
          </w:p>
        </w:tc>
      </w:tr>
    </w:tbl>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16</w:t>
      </w:r>
      <w:r>
        <w:t xml:space="preserve"> A uniform +1 °C shift projected 347 additional US crash deaths per year (95% CI 257-436), rising to 1009 (667-1384) at +3 °C (Fig. 8; Table 5). These are scenario projections, not observed quantities, and assume the anomaly response is stable under a warmer mean climate.</w:t>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347 (257-436)</w:t>
            </w:r>
          </w:p>
        </w:tc>
      </w:tr>
      <w:tr>
        <w:tc>
          <w:tcPr>
            <w:tcW w:type="dxa" w:w="4320"/>
          </w:tcPr>
          <w:p>
            <w:r>
              <w:t>+2°C</w:t>
            </w:r>
          </w:p>
        </w:tc>
        <w:tc>
          <w:tcPr>
            <w:tcW w:type="dxa" w:w="4320"/>
          </w:tcPr>
          <w:p>
            <w:r>
              <w:t>678 (474-881)</w:t>
            </w:r>
          </w:p>
        </w:tc>
      </w:tr>
      <w:tr>
        <w:tc>
          <w:tcPr>
            <w:tcW w:type="dxa" w:w="4320"/>
          </w:tcPr>
          <w:p>
            <w:r>
              <w:t>+3°C</w:t>
            </w:r>
          </w:p>
        </w:tc>
        <w:tc>
          <w:tcPr>
            <w:tcW w:type="dxa" w:w="4320"/>
          </w:tcPr>
          <w:p>
            <w:r>
              <w:t>1009 (667-1384)</w:t>
            </w:r>
          </w:p>
        </w:tc>
      </w:tr>
    </w:tbl>
    <w:p/>
    <w:p>
      <w:pPr>
        <w:spacing w:after="120" w:line="480" w:lineRule="auto"/>
      </w:pPr>
      <w:r>
        <w:t>Sensitivity to activity, precipitation and heat-stress controls is summarized in Table 6. All added continuous terms were z-scored linear terms; state population entered as a log offset, and heat-stress metrics were expressed as anomalies relative to their day-of-year climatology. The primary full-controls model was selected by iteratively removing added controls with VIF &gt; 10; dropped variables were vmt_state (VIF=323.8); humidex_anom (VIF=63.5); heat_index_anom (VIF=24.5). A stricter VIF &lt; 5 screen and an unscreened full-controls model are also shown. Heat-stress metrics showed high collinearity with the temperature anomaly when entered individually, so they are reported separately as sensitivity analyses rather than being included simultaneously.</w:t>
      </w:r>
    </w:p>
    <w:p>
      <w:pPr>
        <w:spacing w:before="280"/>
      </w:pPr>
      <w:r>
        <w:rPr>
          <w:b/>
        </w:rPr>
        <w:t xml:space="preserve">Table 6. </w:t>
      </w:r>
      <w:r>
        <w:t>United States sensitivity of the +9 °C anomaly association to activity, precipitation and heat-stress controls. All added continuous controls were z-scored; population entered as a log offset; heat-stress metrics were anomaly-derived. The VIF &lt; 10 row is the primary full-controls model, selected by iteratively removing added controls with VIF &gt; 10. A stricter VIF &lt; 5 screen and an unscreened model are also shown. Heat-stress metrics were tested individually because they are functions of temperature and can be collinear with the anomaly.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Same-day RR (95% CI)</w:t>
            </w:r>
          </w:p>
        </w:tc>
        <w:tc>
          <w:tcPr>
            <w:tcW w:type="dxa" w:w="2160"/>
          </w:tcPr>
          <w:p>
            <w:r>
              <w:rPr>
                <w:b/>
              </w:rPr>
              <w:t>Cumulative RR (95% CI)</w:t>
            </w:r>
          </w:p>
        </w:tc>
        <w:tc>
          <w:tcPr>
            <w:tcW w:type="dxa" w:w="2160"/>
          </w:tcPr>
          <w:p>
            <w:r>
              <w:rPr>
                <w:b/>
              </w:rPr>
              <w:t>Max control VIF</w:t>
            </w:r>
          </w:p>
        </w:tc>
      </w:tr>
      <w:tr>
        <w:tc>
          <w:tcPr>
            <w:tcW w:type="dxa" w:w="2160"/>
          </w:tcPr>
          <w:p>
            <w:r>
              <w:t>National VMT + motor gasoline</w:t>
            </w:r>
          </w:p>
        </w:tc>
        <w:tc>
          <w:tcPr>
            <w:tcW w:type="dxa" w:w="2160"/>
          </w:tcPr>
          <w:p>
            <w:r>
              <w:t>1.163 (1.133-1.194)</w:t>
            </w:r>
          </w:p>
        </w:tc>
        <w:tc>
          <w:tcPr>
            <w:tcW w:type="dxa" w:w="2160"/>
          </w:tcPr>
          <w:p>
            <w:r>
              <w:t>1.075 (1.015-1.138)</w:t>
            </w:r>
          </w:p>
        </w:tc>
        <w:tc>
          <w:tcPr>
            <w:tcW w:type="dxa" w:w="2160"/>
          </w:tcPr>
          <w:p>
            <w:r>
              <w:t>5.3</w:t>
            </w:r>
          </w:p>
        </w:tc>
      </w:tr>
      <w:tr>
        <w:tc>
          <w:tcPr>
            <w:tcW w:type="dxa" w:w="2160"/>
          </w:tcPr>
          <w:p>
            <w:r>
              <w:t>State population offset</w:t>
            </w:r>
          </w:p>
        </w:tc>
        <w:tc>
          <w:tcPr>
            <w:tcW w:type="dxa" w:w="2160"/>
          </w:tcPr>
          <w:p>
            <w:r>
              <w:t>1.165 (1.135-1.196)</w:t>
            </w:r>
          </w:p>
        </w:tc>
        <w:tc>
          <w:tcPr>
            <w:tcW w:type="dxa" w:w="2160"/>
          </w:tcPr>
          <w:p>
            <w:r>
              <w:t>1.075 (1.015-1.138)</w:t>
            </w:r>
          </w:p>
        </w:tc>
        <w:tc>
          <w:tcPr>
            <w:tcW w:type="dxa" w:w="2160"/>
          </w:tcPr>
          <w:p>
            <w:r>
              <w:t>-</w:t>
            </w:r>
          </w:p>
        </w:tc>
      </w:tr>
      <w:tr>
        <w:tc>
          <w:tcPr>
            <w:tcW w:type="dxa" w:w="2160"/>
          </w:tcPr>
          <w:p>
            <w:r>
              <w:t>+ state annual VMT</w:t>
            </w:r>
          </w:p>
        </w:tc>
        <w:tc>
          <w:tcPr>
            <w:tcW w:type="dxa" w:w="2160"/>
          </w:tcPr>
          <w:p>
            <w:r>
              <w:t>1.165 (1.135-1.196)</w:t>
            </w:r>
          </w:p>
        </w:tc>
        <w:tc>
          <w:tcPr>
            <w:tcW w:type="dxa" w:w="2160"/>
          </w:tcPr>
          <w:p>
            <w:r>
              <w:t>1.073 (1.014-1.136)</w:t>
            </w:r>
          </w:p>
        </w:tc>
        <w:tc>
          <w:tcPr>
            <w:tcW w:type="dxa" w:w="2160"/>
          </w:tcPr>
          <w:p>
            <w:r>
              <w:t>323.8</w:t>
            </w:r>
          </w:p>
        </w:tc>
      </w:tr>
      <w:tr>
        <w:tc>
          <w:tcPr>
            <w:tcW w:type="dxa" w:w="2160"/>
          </w:tcPr>
          <w:p>
            <w:r>
              <w:t>+ state VMT + precipitation</w:t>
            </w:r>
          </w:p>
        </w:tc>
        <w:tc>
          <w:tcPr>
            <w:tcW w:type="dxa" w:w="2160"/>
          </w:tcPr>
          <w:p>
            <w:r>
              <w:t>1.165 (1.135-1.196)</w:t>
            </w:r>
          </w:p>
        </w:tc>
        <w:tc>
          <w:tcPr>
            <w:tcW w:type="dxa" w:w="2160"/>
          </w:tcPr>
          <w:p>
            <w:r>
              <w:t>1.082 (1.022-1.145)</w:t>
            </w:r>
          </w:p>
        </w:tc>
        <w:tc>
          <w:tcPr>
            <w:tcW w:type="dxa" w:w="2160"/>
          </w:tcPr>
          <w:p>
            <w:r>
              <w:t>323.8</w:t>
            </w:r>
          </w:p>
        </w:tc>
      </w:tr>
      <w:tr>
        <w:tc>
          <w:tcPr>
            <w:tcW w:type="dxa" w:w="2160"/>
          </w:tcPr>
          <w:p>
            <w:r>
              <w:t>Full controls, no VIF screen</w:t>
            </w:r>
          </w:p>
        </w:tc>
        <w:tc>
          <w:tcPr>
            <w:tcW w:type="dxa" w:w="2160"/>
          </w:tcPr>
          <w:p>
            <w:r>
              <w:t>1.070 (1.021-1.121)</w:t>
            </w:r>
          </w:p>
        </w:tc>
        <w:tc>
          <w:tcPr>
            <w:tcW w:type="dxa" w:w="2160"/>
          </w:tcPr>
          <w:p>
            <w:r>
              <w:t>1.005 (0.941-1.073)</w:t>
            </w:r>
          </w:p>
        </w:tc>
        <w:tc>
          <w:tcPr>
            <w:tcW w:type="dxa" w:w="2160"/>
          </w:tcPr>
          <w:p>
            <w:r>
              <w:t>323.8</w:t>
            </w:r>
          </w:p>
        </w:tc>
      </w:tr>
      <w:tr>
        <w:tc>
          <w:tcPr>
            <w:tcW w:type="dxa" w:w="2160"/>
          </w:tcPr>
          <w:p>
            <w:r>
              <w:t>VIF-screened full controls (VIF &lt; 10)</w:t>
            </w:r>
          </w:p>
        </w:tc>
        <w:tc>
          <w:tcPr>
            <w:tcW w:type="dxa" w:w="2160"/>
          </w:tcPr>
          <w:p>
            <w:r>
              <w:t>1.170 (1.122-1.219)</w:t>
            </w:r>
          </w:p>
        </w:tc>
        <w:tc>
          <w:tcPr>
            <w:tcW w:type="dxa" w:w="2160"/>
          </w:tcPr>
          <w:p>
            <w:r>
              <w:t>1.086 (1.019-1.157)</w:t>
            </w:r>
          </w:p>
        </w:tc>
        <w:tc>
          <w:tcPr>
            <w:tcW w:type="dxa" w:w="2160"/>
          </w:tcPr>
          <w:p>
            <w:r>
              <w:t>8.5</w:t>
            </w:r>
          </w:p>
        </w:tc>
      </w:tr>
      <w:tr>
        <w:tc>
          <w:tcPr>
            <w:tcW w:type="dxa" w:w="2160"/>
          </w:tcPr>
          <w:p>
            <w:r>
              <w:t>VIF-screened full controls (VIF &lt; 5)</w:t>
            </w:r>
          </w:p>
        </w:tc>
        <w:tc>
          <w:tcPr>
            <w:tcW w:type="dxa" w:w="2160"/>
          </w:tcPr>
          <w:p>
            <w:r>
              <w:t>1.165 (1.135-1.196)</w:t>
            </w:r>
          </w:p>
        </w:tc>
        <w:tc>
          <w:tcPr>
            <w:tcW w:type="dxa" w:w="2160"/>
          </w:tcPr>
          <w:p>
            <w:r>
              <w:t>1.083 (1.023-1.146)</w:t>
            </w:r>
          </w:p>
        </w:tc>
        <w:tc>
          <w:tcPr>
            <w:tcW w:type="dxa" w:w="2160"/>
          </w:tcPr>
          <w:p>
            <w:r>
              <w:t>1.1</w:t>
            </w:r>
          </w:p>
        </w:tc>
      </w:tr>
      <w:tr>
        <w:tc>
          <w:tcPr>
            <w:tcW w:type="dxa" w:w="2160"/>
          </w:tcPr>
          <w:p>
            <w:r>
              <w:t>+ humidex anomaly</w:t>
            </w:r>
          </w:p>
        </w:tc>
        <w:tc>
          <w:tcPr>
            <w:tcW w:type="dxa" w:w="2160"/>
          </w:tcPr>
          <w:p>
            <w:r>
              <w:t>1.176 (1.128-1.226)</w:t>
            </w:r>
          </w:p>
        </w:tc>
        <w:tc>
          <w:tcPr>
            <w:tcW w:type="dxa" w:w="2160"/>
          </w:tcPr>
          <w:p>
            <w:r>
              <w:t>1.089 (1.023-1.160)</w:t>
            </w:r>
          </w:p>
        </w:tc>
        <w:tc>
          <w:tcPr>
            <w:tcW w:type="dxa" w:w="2160"/>
          </w:tcPr>
          <w:p>
            <w:r>
              <w:t>323.8</w:t>
            </w:r>
          </w:p>
        </w:tc>
      </w:tr>
      <w:tr>
        <w:tc>
          <w:tcPr>
            <w:tcW w:type="dxa" w:w="2160"/>
          </w:tcPr>
          <w:p>
            <w:r>
              <w:t>+ heat-index anomaly</w:t>
            </w:r>
          </w:p>
        </w:tc>
        <w:tc>
          <w:tcPr>
            <w:tcW w:type="dxa" w:w="2160"/>
          </w:tcPr>
          <w:p>
            <w:r>
              <w:t>1.049 (1.002-1.097)</w:t>
            </w:r>
          </w:p>
        </w:tc>
        <w:tc>
          <w:tcPr>
            <w:tcW w:type="dxa" w:w="2160"/>
          </w:tcPr>
          <w:p>
            <w:r>
              <w:t>0.989 (0.927-1.055)</w:t>
            </w:r>
          </w:p>
        </w:tc>
        <w:tc>
          <w:tcPr>
            <w:tcW w:type="dxa" w:w="2160"/>
          </w:tcPr>
          <w:p>
            <w:r>
              <w:t>323.8</w:t>
            </w:r>
          </w:p>
        </w:tc>
      </w:tr>
      <w:tr>
        <w:tc>
          <w:tcPr>
            <w:tcW w:type="dxa" w:w="2160"/>
          </w:tcPr>
          <w:p>
            <w:r>
              <w:t>+ estimated WBGT anomaly</w:t>
            </w:r>
          </w:p>
        </w:tc>
        <w:tc>
          <w:tcPr>
            <w:tcW w:type="dxa" w:w="2160"/>
          </w:tcPr>
          <w:p>
            <w:r>
              <w:t>1.168 (1.120-1.217)</w:t>
            </w:r>
          </w:p>
        </w:tc>
        <w:tc>
          <w:tcPr>
            <w:tcW w:type="dxa" w:w="2160"/>
          </w:tcPr>
          <w:p>
            <w:r>
              <w:t>1.083 (1.017-1.154)</w:t>
            </w:r>
          </w:p>
        </w:tc>
        <w:tc>
          <w:tcPr>
            <w:tcW w:type="dxa" w:w="2160"/>
          </w:tcPr>
          <w:p>
            <w:r>
              <w:t>323.8</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Pr>
        <w:spacing w:before="280"/>
      </w:pPr>
      <w:r>
        <w:rPr>
          <w:b/>
        </w:rPr>
        <w:t xml:space="preserve">Figure 9. </w:t>
      </w:r>
      <w:r>
        <w:t>Japan temperature-anomaly exposure-response (2019-2024). The estimate is imprecise: the confidence band is wide and includes the null throughout.</w:t>
      </w:r>
    </w:p>
    <w:p/>
    <w:p>
      <w:pPr>
        <w:spacing w:before="280"/>
      </w:pPr>
      <w:r>
        <w:rPr>
          <w:b/>
        </w:rPr>
        <w:t xml:space="preserve">Figure 10. </w:t>
      </w:r>
      <w:r>
        <w:t>Same-day rate ratio of traffic-crash deaths for a +9 °C anomaly, United States versus Japan. The US shows a precise acute effect; the Japanese estimate is underpowered. This comparison is exploratory and is not adjusted for multiple comparisons.</w:t>
      </w:r>
    </w:p>
    <w:p/>
    <w:p>
      <w:pPr>
        <w:pStyle w:val="Heading1"/>
      </w:pPr>
      <w:r>
        <w:t>Discussion</w:t>
      </w:r>
    </w:p>
    <w:p>
      <w:pPr>
        <w:spacing w:after="120" w:line="480" w:lineRule="auto"/>
      </w:pPr>
      <w:r>
        <w:t>A +9 °C temperature anomaly was associated with a same-day rate ratio of 1.165 (95% CI 1.135-1.196) for US traffic-crash deaths, and the net annual heat-attributable burden was 528 deaths (95% CI 425-631), similar to the 527 officially recorded direct-heat deaths per year. This acute, same-day excess was not explained by aggregate driving activity, and it remained in the VIF-screened full-controls model (added controls iteratively removed when VIF &gt; 10, retaining log-population offset, daily precipitation and estimated WBGT anomaly; dropped: vmt_state, humidex_anom, heat_index_anom), RR 1.170 (1.122-1.219)). The cumulative 0-10 day RR in that model was attenuated (RR 1.086 (1.019-1.157)).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and e-bike fleets and public bikeshare systems should also be considered: batteries, motors and tyres are heat-stressed, increasing the risk of sudden power loss or brake failure, while docking and charging points without shade expose users and maintenance staff to thermal load during check-out, parking and battery swap. Service operators could temporarily reduce or suspend rentals above high-temperature thresholds, relocate or shade docking and charging infrastructure, and integrate heat warnings into app-based routing. Linking shared-mobility heat alerts with public transit and cooled shelter maps would help preserve access for users who depend on these modes, particularly in low-income neighbourhoods where private air-conditioned transport is less available.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or mechanical heat effect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Acknowledgments</w:t>
      </w:r>
    </w:p>
    <w:p>
      <w:pPr>
        <w:spacing w:after="120"/>
      </w:pPr>
      <w:r>
        <w:t>None declared.</w:t>
      </w:r>
    </w:p>
    <w:p>
      <w:pPr>
        <w:pStyle w:val="Heading1"/>
      </w:pPr>
      <w:r>
        <w:t>Author Contributions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AI Disclosure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Lavigne E, Zanobetti A, Schwartz J, et al. 2015. Mortality risk attributable to high and low ambient temperature: a multicountry observational study. Lancet 386(9991):369-375, PMID: 26003380, 10.1016/S0140-6736(14)62114-0.</w:t>
      </w:r>
    </w:p>
    <w:p>
      <w:pPr>
        <w:spacing w:after="80"/>
      </w:pPr>
      <w:r>
        <w:t>2. Basu R. 2009. High ambient temperature and mortality: a review of epidemiologic studies from 2001 to 2008. Environ Health 8:40, PMID: 19758453, 10.1186/1476-069X-8-40.</w:t>
      </w:r>
    </w:p>
    <w:p>
      <w:pPr>
        <w:spacing w:after="80"/>
      </w:pPr>
      <w:r>
        <w:t>3. Liang M, Min M, Guo X, Song Q, Wang H, Li N, et al. 2022. The relationship between ambient temperatures and road traffic injuries: a systematic review and meta-analysis. Environ Sci Pollut Res 29(33):50647-50660, PMID: 35235122, 10.1007/s11356-022-19437-y.</w:t>
      </w:r>
    </w:p>
    <w:p>
      <w:pPr>
        <w:spacing w:after="80"/>
      </w:pPr>
      <w:r>
        <w:t>4. Liang M, Zhao D, Wu Y, Ye P, Wang Y, Yao Z, et al. 2021. Short-term effects of ambient temperature and road traffic accident injuries in Dalian, Northern China: A distributed lag non-linear analysis. Accid Anal Prev 153:106057, PMID: 33647596, 10.1016/j.aap.2021.106057.</w:t>
      </w:r>
    </w:p>
    <w:p>
      <w:pPr>
        <w:spacing w:after="80"/>
      </w:pPr>
      <w:r>
        <w:t>5. National Highway Traffic Safety Administration. n.d. Fatality Analysis Reporting System (FARS). https://www.nhtsa.gov/research-data/fatality-analysis-reporting-system-fars [accessed 22 August 2026].</w:t>
      </w:r>
    </w:p>
    <w:p>
      <w:pPr>
        <w:spacing w:after="80"/>
      </w:pPr>
      <w:r>
        <w:t>6. National Police Agency of Japan. n.d. Traffic accident statistics open data. https://www.npa.go.jp/publications/statistics/koutsuu/opendata/ [accessed 22 August 2026].</w:t>
      </w:r>
    </w:p>
    <w:p>
      <w:pPr>
        <w:spacing w:after="80"/>
      </w:pPr>
      <w:r>
        <w:t>7. Menne MJ, Durre I, Vose RS, Gleason BE, Houston TG. 2012. An overview of the Global Historical Climatology Network-Daily database. J Atmos Ocean Technol 29(7):897-910, 10.1175/JTECH-D-11-00103.1.</w:t>
      </w:r>
    </w:p>
    <w:p>
      <w:pPr>
        <w:spacing w:after="80"/>
      </w:pPr>
      <w:r>
        <w:t>8. Gasparrini A, Armstrong B, Kenward MG. 2010. Distributed lag non-linear models. Stat Med 29(21):2224-2234, PMID: 20812303, 10.1002/sim.3940.</w:t>
      </w:r>
    </w:p>
    <w:p>
      <w:pPr>
        <w:spacing w:after="80"/>
      </w:pPr>
      <w:r>
        <w:t>9. Gasparrini A, Leone M. 2014. Attributable risk from distributed lag models. BMC Med Res Methodol 14:55, PMID: 24758509, 10.1186/1471-2288-14-55.</w:t>
      </w:r>
    </w:p>
    <w:p>
      <w:pPr>
        <w:spacing w:after="80"/>
      </w:pPr>
      <w:r>
        <w:t>10. Federal Highway Administration. n.d. Traffic Volume Trends. https://www.fhwa.dot.gov/policyinformation/travel_monitoring/tvt.cfm [accessed 22 August 2026].</w:t>
      </w:r>
    </w:p>
    <w:p>
      <w:pPr>
        <w:spacing w:after="80"/>
      </w:pPr>
      <w:r>
        <w:t>11. US Energy Information Administration. n.d. Weekly finished motor gasoline product supplied (PET.WGFUPUS2.W). https://www.eia.gov/ [accessed 22 August 2026].</w:t>
      </w:r>
    </w:p>
    <w:p>
      <w:pPr>
        <w:spacing w:after="80"/>
      </w:pPr>
      <w:r>
        <w:t>12. US Census Bureau. n.d. Population Estimates Program. Annual state population estimates. https://www.census.gov/programs-surveys/popest.html [accessed 22 August 2026].</w:t>
      </w:r>
    </w:p>
    <w:p>
      <w:pPr>
        <w:spacing w:after="80"/>
      </w:pPr>
      <w:r>
        <w:t>13. Federal Highway Administration. n.d. Highway Statistics VM-2: Annual state vehicle-miles travelled. https://www.fhwa.dot.gov/policyinformation/statistics.cfm [accessed 22 August 2026].</w:t>
      </w:r>
    </w:p>
    <w:p>
      <w:pPr>
        <w:spacing w:after="80"/>
      </w:pPr>
      <w:r>
        <w:t>14. Centers for Disease Control and Prevention. n.d. CDC WONDER Underlying Cause of Death database. https://wonder.cdc.gov/ [accessed 22 August 2026].</w:t>
      </w:r>
    </w:p>
    <w:p>
      <w:pPr>
        <w:spacing w:after="80"/>
      </w:pPr>
      <w:r>
        <w:t>15. Daanen HAM, van de Vliert E, Huang X. 2003. Driving performance in cold, warm, and thermoneutral environments. Appl Ergon 34(6):597-602, PMID: 14559420, 10.1016/S0003-6870(03)00055-3.</w:t>
      </w:r>
    </w:p>
    <w:p>
      <w:pPr>
        <w:spacing w:after="80"/>
      </w:pPr>
      <w:r>
        <w:t>16. IPCC. 2021. Climate Change 2021: The Physical Science Basis. Contribution of Working Group I to the Sixth Assessment Report of the Intergovernmental Panel on Climate Change. Cambridge: Cambridge University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