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Ambient heat is an established driver of mortality.</w:t>
      </w:r>
      <w:r>
        <w:rPr>
          <w:vertAlign w:val="superscript"/>
        </w:rPr>
        <w:t>1,2</w:t>
      </w:r>
      <w:r>
        <w:t xml:space="preserve"> Driving, riding and walking nonetheless continue in hot weather, and heat degrades psychomotor and cognitive performance.</w:t>
      </w:r>
      <w:r>
        <w:rPr>
          <w:vertAlign w:val="superscript"/>
        </w:rPr>
        <w:t>3</w:t>
      </w:r>
      <w:r>
        <w:t xml:space="preserve"> Ambient heat is therefore plausibly an under-recognised road-safety hazard: a crash-risk condition that agencies do not currently monitor, warn against or mitigate. Recent syntheses link higher ambient temperature to increased road traffic accidents and injuries,</w:t>
      </w:r>
      <w:r>
        <w:rPr>
          <w:vertAlign w:val="superscript"/>
        </w:rPr>
        <w:t>4,5</w:t>
      </w:r>
      <w:r>
        <w:t xml:space="preserve"> but fatal crashes have rarely been examined as a heat-related safety outcome in their own right. We therefore ask whether days that are hotter than the local seasonal norm carry excess traffic-crash mortality, which road users are most affected, and whether the circumstances of the excess crashes are consistent with a heat-impairment mechanism. One corollary is surveillance: because crash decedents rarely undergo post-mortem assessment for a heat contribution, any such contribution would be invisible in routine cause-of-death coding, so we also compare the magnitude with officially recorded direct-heat deaths. If ambient heat is a road-safety hazard, heat-aware crash-prevention messaging and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6</w:t>
      </w:r>
      <w:r>
        <w:t xml:space="preserve"> and by Japanese prefecture (National Police Agency [NPA] accident open data, 2019-2024).</w:t>
      </w:r>
      <w:r>
        <w:rPr>
          <w:vertAlign w:val="superscript"/>
        </w:rPr>
        <w:t>7</w:t>
      </w:r>
      <w:r>
        <w:t xml:space="preserve"> Daily mean temperature was taken from the Global Historical Climatology Network-Daily (GHCN-Daily) stations</w:t>
      </w:r>
      <w:r>
        <w:rPr>
          <w:vertAlign w:val="superscript"/>
        </w:rPr>
        <w:t>8</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9</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10</w:t>
      </w:r>
      <w:r>
        <w:t xml:space="preserve"> with Monte Carlo (MC) confidence intervals (CIs). As sensitivity analyses for the US we added (i) national vehicle-miles travelled (VMT)</w:t>
      </w:r>
      <w:r>
        <w:rPr>
          <w:vertAlign w:val="superscript"/>
        </w:rPr>
        <w:t>11</w:t>
      </w:r>
      <w:r>
        <w:t xml:space="preserve"> and finished-motor-gasoline product supplied</w:t>
      </w:r>
      <w:r>
        <w:rPr>
          <w:vertAlign w:val="superscript"/>
        </w:rPr>
        <w:t>12</w:t>
      </w:r>
      <w:r>
        <w:t xml:space="preserve"> as activity proxies, and (ii) a richer control set with state annual population entered as a log offset</w:t>
      </w:r>
      <w:r>
        <w:rPr>
          <w:vertAlign w:val="superscript"/>
        </w:rPr>
        <w:t>13</w:t>
      </w:r>
      <w:r>
        <w:t>, state annual VMT</w:t>
      </w:r>
      <w:r>
        <w:rPr>
          <w:vertAlign w:val="superscript"/>
        </w:rPr>
        <w:t>14</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15</w:t>
      </w:r>
      <w:r>
        <w:t xml:space="preserve"> We performed three further US analyses: (i) refitting the same-day model within crash-hour bands to test whether the excess concentrates in the hottest hours; (ii) refitting it by road-user type (vehicle occupant, motorcyclist, pedestrian, cyclist), age band and crash circumstances (manner of collision, weather condition, rural/urban land use and police-reported driver drinking) from FARS records, as mechanistic and vulnerability analyses;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consistent with greater direct heat exposure, although mode-specific activity changes on hot days cannot be excluded. This subgroup analysis is exploratory and is not adjusted for multiple comparisons.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Crash-level strata provided four further checks on the mechanism and on robustness (Fig. 9; Table 6). The same-day excess was larger for single-vehicle crashes—those whose first harmful event was not a collision with another motor vehicle in transport, including run-off-road and pedestrian-involved crashes—than for multi-vehicle collisions (RR 1.199 (1.161-1.238) vs 1.113 (1.066-1.162)), the pattern expected if heat degrades driver performance independently of interaction with other vehicles. The excess persisted on clear or cloudy days (RR 1.185 (1.148-1.224)) and was similar in adverse weather (RR 1.119 (1.054-1.188)), so it is not explained by precipitation or wet-road surface conditions. Estimates were similar for rural (RR 1.139 (1.096-1.184)) and urban (RR 1.190 (1.150-1.232)) crashes. Finally, the excess was present and of similar magnitude whether or not a driver was reported to have been drinking (RR 1.178 (1.133-1.224) and 1.191 (1.119-1.269) respectively), indicating that the association is not driven by alcohol-involved crashes; police-reported drinking is, however, under-ascertained in FARS.</w:t>
      </w:r>
    </w:p>
    <w:p/>
    <w:p>
      <w:pPr>
        <w:jc w:val="center"/>
      </w:pPr>
      <w:r>
        <w:drawing>
          <wp:inline xmlns:a="http://schemas.openxmlformats.org/drawingml/2006/main" xmlns:pic="http://schemas.openxmlformats.org/drawingml/2006/picture">
            <wp:extent cx="5120640" cy="3175959"/>
            <wp:docPr id="9" name="Picture 9"/>
            <wp:cNvGraphicFramePr>
              <a:graphicFrameLocks noChangeAspect="1"/>
            </wp:cNvGraphicFramePr>
            <a:graphic>
              <a:graphicData uri="http://schemas.openxmlformats.org/drawingml/2006/picture">
                <pic:pic>
                  <pic:nvPicPr>
                    <pic:cNvPr id="0" name="fig_us_crashcontext.png"/>
                    <pic:cNvPicPr/>
                  </pic:nvPicPr>
                  <pic:blipFill>
                    <a:blip r:embed="rId17"/>
                    <a:stretch>
                      <a:fillRect/>
                    </a:stretch>
                  </pic:blipFill>
                  <pic:spPr>
                    <a:xfrm>
                      <a:off x="0" y="0"/>
                      <a:ext cx="5120640" cy="3175959"/>
                    </a:xfrm>
                    <a:prstGeom prst="rect"/>
                  </pic:spPr>
                </pic:pic>
              </a:graphicData>
            </a:graphic>
          </wp:inline>
        </w:drawing>
      </w:r>
    </w:p>
    <w:p>
      <w:pPr>
        <w:spacing w:before="280"/>
      </w:pPr>
      <w:r>
        <w:rPr>
          <w:b/>
        </w:rPr>
        <w:t xml:space="preserve">Figure 9. </w:t>
      </w:r>
      <w:r>
        <w:t>United States same-day rate ratio of crash death for a +9 °C anomaly by crash circumstances: manner of collision, weather condition, rural/urban land use and police-reported driver drinking. The excess is present for clear or cloudy days, is larger for single-vehicle (not a collision with a motor vehicle in transport) than multi-vehicle crashes, and is similar regardless of reported driver drinking—patterns consistent with a direct heat contribution rather than adverse-weather surface conditions or a purely behavioural pathway. These subgroup analyses are exploratory and are not adjusted for multiple comparisons.</w:t>
      </w:r>
    </w:p>
    <w:p/>
    <w:p>
      <w:pPr>
        <w:spacing w:before="280"/>
      </w:pPr>
      <w:r>
        <w:rPr>
          <w:b/>
        </w:rPr>
        <w:t xml:space="preserve">Table 6. </w:t>
      </w:r>
      <w:r>
        <w:t>United States same-day rate ratio of crash death for a +9 °C anomaly, by crash circumstances (crash-level strata). Single-vehicle crashes are those whose first harmful event was not a collision with a motor vehicle in transport (includes run-off-road and pedestrian crashes); driver drinking is police-reported for any involved driver; crashes with unreported or unknown drinking status are excluded. Subgroup analyses are exploratory and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Stratum</w:t>
            </w:r>
          </w:p>
        </w:tc>
        <w:tc>
          <w:tcPr>
            <w:tcW w:type="dxa" w:w="2880"/>
          </w:tcPr>
          <w:p>
            <w:r>
              <w:rPr>
                <w:b/>
              </w:rPr>
              <w:t>Crash deaths</w:t>
            </w:r>
          </w:p>
        </w:tc>
        <w:tc>
          <w:tcPr>
            <w:tcW w:type="dxa" w:w="2880"/>
          </w:tcPr>
          <w:p>
            <w:r>
              <w:rPr>
                <w:b/>
              </w:rPr>
              <w:t>Same-day RR (95% CI)</w:t>
            </w:r>
          </w:p>
        </w:tc>
      </w:tr>
      <w:tr>
        <w:tc>
          <w:tcPr>
            <w:tcW w:type="dxa" w:w="2880"/>
          </w:tcPr>
          <w:p>
            <w:r>
              <w:t>Manner of collision: Single-vehicle (not a MVIT collision)</w:t>
            </w:r>
          </w:p>
        </w:tc>
        <w:tc>
          <w:tcPr>
            <w:tcW w:type="dxa" w:w="2880"/>
          </w:tcPr>
          <w:p>
            <w:r>
              <w:t>160,517</w:t>
            </w:r>
          </w:p>
        </w:tc>
        <w:tc>
          <w:tcPr>
            <w:tcW w:type="dxa" w:w="2880"/>
          </w:tcPr>
          <w:p>
            <w:r>
              <w:t>1.199 (1.161-1.238)</w:t>
            </w:r>
          </w:p>
        </w:tc>
      </w:tr>
      <w:tr>
        <w:tc>
          <w:tcPr>
            <w:tcW w:type="dxa" w:w="2880"/>
          </w:tcPr>
          <w:p>
            <w:r>
              <w:t>Manner of collision: Multi-vehicle collision</w:t>
            </w:r>
          </w:p>
        </w:tc>
        <w:tc>
          <w:tcPr>
            <w:tcW w:type="dxa" w:w="2880"/>
          </w:tcPr>
          <w:p>
            <w:r>
              <w:t>111,415</w:t>
            </w:r>
          </w:p>
        </w:tc>
        <w:tc>
          <w:tcPr>
            <w:tcW w:type="dxa" w:w="2880"/>
          </w:tcPr>
          <w:p>
            <w:r>
              <w:t>1.113 (1.066-1.162)</w:t>
            </w:r>
          </w:p>
        </w:tc>
      </w:tr>
      <w:tr>
        <w:tc>
          <w:tcPr>
            <w:tcW w:type="dxa" w:w="2880"/>
          </w:tcPr>
          <w:p>
            <w:r>
              <w:t>Weather condition: Clear or cloudy</w:t>
            </w:r>
          </w:p>
        </w:tc>
        <w:tc>
          <w:tcPr>
            <w:tcW w:type="dxa" w:w="2880"/>
          </w:tcPr>
          <w:p>
            <w:r>
              <w:t>212,319</w:t>
            </w:r>
          </w:p>
        </w:tc>
        <w:tc>
          <w:tcPr>
            <w:tcW w:type="dxa" w:w="2880"/>
          </w:tcPr>
          <w:p>
            <w:r>
              <w:t>1.185 (1.148-1.224)</w:t>
            </w:r>
          </w:p>
        </w:tc>
      </w:tr>
      <w:tr>
        <w:tc>
          <w:tcPr>
            <w:tcW w:type="dxa" w:w="2880"/>
          </w:tcPr>
          <w:p>
            <w:r>
              <w:t>Weather condition: Adverse (rain, snow, fog, wind)</w:t>
            </w:r>
          </w:p>
        </w:tc>
        <w:tc>
          <w:tcPr>
            <w:tcW w:type="dxa" w:w="2880"/>
          </w:tcPr>
          <w:p>
            <w:r>
              <w:t>44,401</w:t>
            </w:r>
          </w:p>
        </w:tc>
        <w:tc>
          <w:tcPr>
            <w:tcW w:type="dxa" w:w="2880"/>
          </w:tcPr>
          <w:p>
            <w:r>
              <w:t>1.119 (1.054-1.188)</w:t>
            </w:r>
          </w:p>
        </w:tc>
      </w:tr>
      <w:tr>
        <w:tc>
          <w:tcPr>
            <w:tcW w:type="dxa" w:w="2880"/>
          </w:tcPr>
          <w:p>
            <w:r>
              <w:t>Land use: Rural</w:t>
            </w:r>
          </w:p>
        </w:tc>
        <w:tc>
          <w:tcPr>
            <w:tcW w:type="dxa" w:w="2880"/>
          </w:tcPr>
          <w:p>
            <w:r>
              <w:t>119,138</w:t>
            </w:r>
          </w:p>
        </w:tc>
        <w:tc>
          <w:tcPr>
            <w:tcW w:type="dxa" w:w="2880"/>
          </w:tcPr>
          <w:p>
            <w:r>
              <w:t>1.139 (1.096-1.184)</w:t>
            </w:r>
          </w:p>
        </w:tc>
      </w:tr>
      <w:tr>
        <w:tc>
          <w:tcPr>
            <w:tcW w:type="dxa" w:w="2880"/>
          </w:tcPr>
          <w:p>
            <w:r>
              <w:t>Land use: Urban</w:t>
            </w:r>
          </w:p>
        </w:tc>
        <w:tc>
          <w:tcPr>
            <w:tcW w:type="dxa" w:w="2880"/>
          </w:tcPr>
          <w:p>
            <w:r>
              <w:t>153,418</w:t>
            </w:r>
          </w:p>
        </w:tc>
        <w:tc>
          <w:tcPr>
            <w:tcW w:type="dxa" w:w="2880"/>
          </w:tcPr>
          <w:p>
            <w:r>
              <w:t>1.190 (1.150-1.232)</w:t>
            </w:r>
          </w:p>
        </w:tc>
      </w:tr>
      <w:tr>
        <w:tc>
          <w:tcPr>
            <w:tcW w:type="dxa" w:w="2880"/>
          </w:tcPr>
          <w:p>
            <w:r>
              <w:t>Driver drinking: No drinking driver</w:t>
            </w:r>
          </w:p>
        </w:tc>
        <w:tc>
          <w:tcPr>
            <w:tcW w:type="dxa" w:w="2880"/>
          </w:tcPr>
          <w:p>
            <w:r>
              <w:t>121,958</w:t>
            </w:r>
          </w:p>
        </w:tc>
        <w:tc>
          <w:tcPr>
            <w:tcW w:type="dxa" w:w="2880"/>
          </w:tcPr>
          <w:p>
            <w:r>
              <w:t>1.178 (1.133-1.224)</w:t>
            </w:r>
          </w:p>
        </w:tc>
      </w:tr>
      <w:tr>
        <w:tc>
          <w:tcPr>
            <w:tcW w:type="dxa" w:w="2880"/>
          </w:tcPr>
          <w:p>
            <w:r>
              <w:t>Driver drinking: Drinking driver involved</w:t>
            </w:r>
          </w:p>
        </w:tc>
        <w:tc>
          <w:tcPr>
            <w:tcW w:type="dxa" w:w="2880"/>
          </w:tcPr>
          <w:p>
            <w:r>
              <w:t>47,963</w:t>
            </w:r>
          </w:p>
        </w:tc>
        <w:tc>
          <w:tcPr>
            <w:tcW w:type="dxa" w:w="2880"/>
          </w:tcPr>
          <w:p>
            <w:r>
              <w:t>1.191 (1.119-1.269)</w:t>
            </w:r>
          </w:p>
        </w:tc>
      </w:tr>
    </w:tbl>
    <w:p/>
    <w:p>
      <w:pPr>
        <w:spacing w:after="120" w:line="480" w:lineRule="auto"/>
      </w:pPr>
      <w:r>
        <w:t>Sensitivity to activity, precipitation and heat-stress controls is summarized in Table 7.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7.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10); the same-day point estimate for a +9 °C anomaly was 0.940 (95% CI 0.743-1.190) and was not stable across specifications. A direct comparison of the two countries (Fig. 11)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10" name="Picture 10"/>
            <wp:cNvGraphicFramePr>
              <a:graphicFrameLocks noChangeAspect="1"/>
            </wp:cNvGraphicFramePr>
            <a:graphic>
              <a:graphicData uri="http://schemas.openxmlformats.org/drawingml/2006/picture">
                <pic:pic>
                  <pic:nvPicPr>
                    <pic:cNvPr id="0" name="jp_fig2_anomaly_exposure_response.png"/>
                    <pic:cNvPicPr/>
                  </pic:nvPicPr>
                  <pic:blipFill>
                    <a:blip r:embed="rId18"/>
                    <a:stretch>
                      <a:fillRect/>
                    </a:stretch>
                  </pic:blipFill>
                  <pic:spPr>
                    <a:xfrm>
                      <a:off x="0" y="0"/>
                      <a:ext cx="5120640" cy="3660652"/>
                    </a:xfrm>
                    <a:prstGeom prst="rect"/>
                  </pic:spPr>
                </pic:pic>
              </a:graphicData>
            </a:graphic>
          </wp:inline>
        </w:drawing>
      </w:r>
    </w:p>
    <w:p>
      <w:pPr>
        <w:spacing w:before="280"/>
      </w:pPr>
      <w:r>
        <w:rPr>
          <w:b/>
        </w:rPr>
        <w:t xml:space="preserve">Figure 10. </w:t>
      </w:r>
      <w:r>
        <w:t>Japan temperature-anomaly exposure-response (2019-2024). The estimate is imprecise: the confidence band is wide and includes the null throughout.</w:t>
      </w:r>
    </w:p>
    <w:p/>
    <w:p/>
    <w:p>
      <w:pPr>
        <w:jc w:val="center"/>
      </w:pPr>
      <w:r>
        <w:drawing>
          <wp:inline xmlns:a="http://schemas.openxmlformats.org/drawingml/2006/main" xmlns:pic="http://schemas.openxmlformats.org/drawingml/2006/picture">
            <wp:extent cx="5120640" cy="3761953"/>
            <wp:docPr id="11" name="Picture 11"/>
            <wp:cNvGraphicFramePr>
              <a:graphicFrameLocks noChangeAspect="1"/>
            </wp:cNvGraphicFramePr>
            <a:graphic>
              <a:graphicData uri="http://schemas.openxmlformats.org/drawingml/2006/picture">
                <pic:pic>
                  <pic:nvPicPr>
                    <pic:cNvPr id="0" name="cross_fig_us_vs_japan_sameday.png"/>
                    <pic:cNvPicPr/>
                  </pic:nvPicPr>
                  <pic:blipFill>
                    <a:blip r:embed="rId19"/>
                    <a:stretch>
                      <a:fillRect/>
                    </a:stretch>
                  </pic:blipFill>
                  <pic:spPr>
                    <a:xfrm>
                      <a:off x="0" y="0"/>
                      <a:ext cx="5120640" cy="3761953"/>
                    </a:xfrm>
                    <a:prstGeom prst="rect"/>
                  </pic:spPr>
                </pic:pic>
              </a:graphicData>
            </a:graphic>
          </wp:inline>
        </w:drawing>
      </w:r>
    </w:p>
    <w:p>
      <w:pPr>
        <w:spacing w:before="280"/>
      </w:pPr>
      <w:r>
        <w:rPr>
          <w:b/>
        </w:rPr>
        <w:t xml:space="preserve">Figure 11. </w:t>
      </w:r>
      <w:r>
        <w:t>Same-day rate ratio of traffic-crash deaths for a +9 °C anomaly, United States versus Japan. The US shows a precise acute effect; the Japanese estimate is underpowered. This comparison is exploratory and is not adjusted for multiple comparisons.</w:t>
      </w:r>
    </w:p>
    <w:p/>
    <w:p>
      <w:pPr>
        <w:spacing w:after="120" w:line="480" w:lineRule="auto"/>
      </w:pPr>
      <w:r>
        <w:t>Within Japan, the same-day estimates were again imprecise, but their ordering descriptively mirrored the US pattern: largest for single-vehicle accidents (RR 1.133 (0.722-1.778)), intermediate for vehicle-vehicle accidents (RR 1.079 (0.731-1.594)), and below one for vehicle-pedestrian accidents (RR 0.740 (0.500-1.097)), consistent with—but far from proving—reduced pedestrian exposure on unusually hot days (Fig. 12; Table 8). Splitting prefectures at the median population density, a proxy for public-transport availability, did not separate the estimates (high-density RR 0.938 (0.696-1.264); low-density RR 0.958 (0.664-1.383)); both confidence intervals are wide and overlap, so the transit-availability hypothesis remains untestable at this sample size.</w:t>
      </w:r>
    </w:p>
    <w:p/>
    <w:p>
      <w:pPr>
        <w:jc w:val="center"/>
      </w:pPr>
      <w:r>
        <w:drawing>
          <wp:inline xmlns:a="http://schemas.openxmlformats.org/drawingml/2006/main" xmlns:pic="http://schemas.openxmlformats.org/drawingml/2006/picture">
            <wp:extent cx="5120640" cy="2964581"/>
            <wp:docPr id="12" name="Picture 12"/>
            <wp:cNvGraphicFramePr>
              <a:graphicFrameLocks noChangeAspect="1"/>
            </wp:cNvGraphicFramePr>
            <a:graphic>
              <a:graphicData uri="http://schemas.openxmlformats.org/drawingml/2006/picture">
                <pic:pic>
                  <pic:nvPicPr>
                    <pic:cNvPr id="0" name="fig_jp_strata.png"/>
                    <pic:cNvPicPr/>
                  </pic:nvPicPr>
                  <pic:blipFill>
                    <a:blip r:embed="rId20"/>
                    <a:stretch>
                      <a:fillRect/>
                    </a:stretch>
                  </pic:blipFill>
                  <pic:spPr>
                    <a:xfrm>
                      <a:off x="0" y="0"/>
                      <a:ext cx="5120640" cy="2964581"/>
                    </a:xfrm>
                    <a:prstGeom prst="rect"/>
                  </pic:spPr>
                </pic:pic>
              </a:graphicData>
            </a:graphic>
          </wp:inline>
        </w:drawing>
      </w:r>
    </w:p>
    <w:p>
      <w:pPr>
        <w:spacing w:before="280"/>
      </w:pPr>
      <w:r>
        <w:rPr>
          <w:b/>
        </w:rPr>
        <w:t xml:space="preserve">Figure 12. </w:t>
      </w:r>
      <w:r>
        <w:t>Japan same-day rate ratio of crash death for a +9 °C anomaly by accident type (single-vehicle, vehicle-vehicle, vehicle-pedestrian) and by prefecture population density (a proxy for public-transport availability, split at the median). All confidence intervals are wide and include the null; these stratified analyses are exploratory and are not adjusted for multiple comparisons.</w:t>
      </w:r>
    </w:p>
    <w:p/>
    <w:p>
      <w:pPr>
        <w:spacing w:before="280"/>
      </w:pPr>
      <w:r>
        <w:rPr>
          <w:b/>
        </w:rPr>
        <w:t xml:space="preserve">Table 8. </w:t>
      </w:r>
      <w:r>
        <w:t>Japan same-day rate ratio of crash death for a +9 °C anomaly, by accident type (NPA classification: single-vehicle, vehicle-vehicle, vehicle-pedestrian; the fatality in a vehicle-pedestrian accident is the struck pedestrian) and by prefecture population density, split at the median as a proxy for public-transport availability. All estimates are underpowered; analyses are exploratory and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Stratum</w:t>
            </w:r>
          </w:p>
        </w:tc>
        <w:tc>
          <w:tcPr>
            <w:tcW w:type="dxa" w:w="2880"/>
          </w:tcPr>
          <w:p>
            <w:r>
              <w:rPr>
                <w:b/>
              </w:rPr>
              <w:t>Crash deaths</w:t>
            </w:r>
          </w:p>
        </w:tc>
        <w:tc>
          <w:tcPr>
            <w:tcW w:type="dxa" w:w="2880"/>
          </w:tcPr>
          <w:p>
            <w:r>
              <w:rPr>
                <w:b/>
              </w:rPr>
              <w:t>Same-day RR (95% CI)</w:t>
            </w:r>
          </w:p>
        </w:tc>
      </w:tr>
      <w:tr>
        <w:tc>
          <w:tcPr>
            <w:tcW w:type="dxa" w:w="2880"/>
          </w:tcPr>
          <w:p>
            <w:r>
              <w:t>Accident type: Single-vehicle</w:t>
            </w:r>
          </w:p>
        </w:tc>
        <w:tc>
          <w:tcPr>
            <w:tcW w:type="dxa" w:w="2880"/>
          </w:tcPr>
          <w:p>
            <w:r>
              <w:t>3,227</w:t>
            </w:r>
          </w:p>
        </w:tc>
        <w:tc>
          <w:tcPr>
            <w:tcW w:type="dxa" w:w="2880"/>
          </w:tcPr>
          <w:p>
            <w:r>
              <w:t>1.133 (0.722-1.778)</w:t>
            </w:r>
          </w:p>
        </w:tc>
      </w:tr>
      <w:tr>
        <w:tc>
          <w:tcPr>
            <w:tcW w:type="dxa" w:w="2880"/>
          </w:tcPr>
          <w:p>
            <w:r>
              <w:t>Accident type: Vehicle-vehicle</w:t>
            </w:r>
          </w:p>
        </w:tc>
        <w:tc>
          <w:tcPr>
            <w:tcW w:type="dxa" w:w="2880"/>
          </w:tcPr>
          <w:p>
            <w:r>
              <w:t>4,280</w:t>
            </w:r>
          </w:p>
        </w:tc>
        <w:tc>
          <w:tcPr>
            <w:tcW w:type="dxa" w:w="2880"/>
          </w:tcPr>
          <w:p>
            <w:r>
              <w:t>1.079 (0.731-1.594)</w:t>
            </w:r>
          </w:p>
        </w:tc>
      </w:tr>
      <w:tr>
        <w:tc>
          <w:tcPr>
            <w:tcW w:type="dxa" w:w="2880"/>
          </w:tcPr>
          <w:p>
            <w:r>
              <w:t>Accident type: Vehicle-pedestrian</w:t>
            </w:r>
          </w:p>
        </w:tc>
        <w:tc>
          <w:tcPr>
            <w:tcW w:type="dxa" w:w="2880"/>
          </w:tcPr>
          <w:p>
            <w:r>
              <w:t>3,968</w:t>
            </w:r>
          </w:p>
        </w:tc>
        <w:tc>
          <w:tcPr>
            <w:tcW w:type="dxa" w:w="2880"/>
          </w:tcPr>
          <w:p>
            <w:r>
              <w:t>0.740 (0.500-1.097)</w:t>
            </w:r>
          </w:p>
        </w:tc>
      </w:tr>
      <w:tr>
        <w:tc>
          <w:tcPr>
            <w:tcW w:type="dxa" w:w="2880"/>
          </w:tcPr>
          <w:p>
            <w:r>
              <w:t>Prefecture density: High-density prefectures (transit-rich proxy)</w:t>
            </w:r>
          </w:p>
        </w:tc>
        <w:tc>
          <w:tcPr>
            <w:tcW w:type="dxa" w:w="2880"/>
          </w:tcPr>
          <w:p>
            <w:r>
              <w:t>7,583</w:t>
            </w:r>
          </w:p>
        </w:tc>
        <w:tc>
          <w:tcPr>
            <w:tcW w:type="dxa" w:w="2880"/>
          </w:tcPr>
          <w:p>
            <w:r>
              <w:t>0.938 (0.696-1.264)</w:t>
            </w:r>
          </w:p>
        </w:tc>
      </w:tr>
      <w:tr>
        <w:tc>
          <w:tcPr>
            <w:tcW w:type="dxa" w:w="2880"/>
          </w:tcPr>
          <w:p>
            <w:r>
              <w:t>Prefecture density: Low-density prefectures (transit-poor proxy)</w:t>
            </w:r>
          </w:p>
        </w:tc>
        <w:tc>
          <w:tcPr>
            <w:tcW w:type="dxa" w:w="2880"/>
          </w:tcPr>
          <w:p>
            <w:r>
              <w:t>4,081</w:t>
            </w:r>
          </w:p>
        </w:tc>
        <w:tc>
          <w:tcPr>
            <w:tcW w:type="dxa" w:w="2880"/>
          </w:tcPr>
          <w:p>
            <w:r>
              <w:t>0.958 (0.664-1.383)</w:t>
            </w:r>
          </w:p>
        </w:tc>
      </w:tr>
    </w:tbl>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4,5</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 crash-circumstance strata point the same way: the excess was larger for single-vehicle crashes than for multi-vehicle collisions, persisted on clear days, and was similar whether or not a driver was reported to have been drinking. The Japanese strata, although very imprecise, point the same way: the single-vehicle estimate was again the largest and the vehicle-pedestrian point estimate fell below one, the ordering expected if hot days both degrade vehicle control and reduce pedestrian exposure.These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e-bike and public bikeshare users are directly exposed open-air riders, and unshaded docking and charging points add thermal load during check-out and parking, so operators could integrate heat warnings into app-based routing and consider shade for docking infrastructure. Linking shared-mobility heat alerts with public transit and cooled shelter maps would help preserve access for users who depend on these modes, particularly in low-income neighbourhoods where private air-conditioned transport is less available. The Japanese data also raise the possibility of modal substitution: where cooled public transit offers an alternative, unusually hot days may suppress walking and riding rather than generate excess crash deaths. In the US, where such alternatives are limited, safe transit options could plausibly prevent part of the heat-associated burden; our prefecture-density split was too imprecise to test this and the hypothesis remains open.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police-reported drinking is incompletely ascertained in FARS, so similar estimates with and without a reported drinking driver do not fully exclude an alcohol-related contribution. Eighth,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Ninth, the findings are drawn from the United States and Japan because, among high-income countries with comparably robust road-crash and meteorological data collection, no other country currently provides a fully open, daily, individual-level crash record equivalent to FARS or the Japanese NPA open data; the EU CARE database contains detailed individual accident records but is not publicly available at the daily individual level, and national open road-safety datasets in Europe are not harmonised, so the United States and Japan represent the best available public sources for this study design.</w:t>
      </w:r>
      <w:r>
        <w:rPr>
          <w:vertAlign w:val="superscript"/>
        </w:rPr>
        <w:t>17</w:t>
      </w:r>
      <w:r>
        <w:t xml:space="preserve">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Daanen HAM, van de Vliert E, Huang X. Driving performance in cold, warm, and thermoneutral environments. Appl Ergon 2003;34:597-602.</w:t>
      </w:r>
    </w:p>
    <w:p>
      <w:pPr>
        <w:spacing w:after="80"/>
      </w:pPr>
      <w:r>
        <w:t>4. Liang M, Min M, Guo X, Song Q, Wang H, Li N, et al. The relationship between ambient temperatures and road traffic injuries: a systematic review and meta-analysis. Environ Sci Pollut Res 2022;29(33):50647-60.</w:t>
      </w:r>
    </w:p>
    <w:p>
      <w:pPr>
        <w:spacing w:after="80"/>
      </w:pPr>
      <w:r>
        <w:t>5. Liang M, Zhao D, Wu Y, Ye P, Wang Y, Yao Z, et al. Short-term effects of ambient temperature and road traffic accident injuries in Dalian, Northern China: A distributed lag non-linear analysis. Accid Anal Prev 2021;153:106057.</w:t>
      </w:r>
    </w:p>
    <w:p>
      <w:pPr>
        <w:spacing w:after="80"/>
      </w:pPr>
      <w:r>
        <w:t>6. National Highway Traffic Safety Administration. Fatality Analysis Reporting System (FARS). US Department of Transportation. https://www.nhtsa.gov/research-data/fatality-analysis-reporting-system-fars</w:t>
      </w:r>
    </w:p>
    <w:p>
      <w:pPr>
        <w:spacing w:after="80"/>
      </w:pPr>
      <w:r>
        <w:t>7. National Police Agency of Japan. Traffic accident statistics open data. https://www.npa.go.jp/publications/statistics/koutsuu/opendata/</w:t>
      </w:r>
    </w:p>
    <w:p>
      <w:pPr>
        <w:spacing w:after="80"/>
      </w:pPr>
      <w:r>
        <w:t>8. Menne MJ, Durre I, Vose RS, Gleason BE, Houston TG. An overview of the Global Historical Climatology Network-Daily database. J Atmos Ocean Technol 2012;29:897-910.</w:t>
      </w:r>
    </w:p>
    <w:p>
      <w:pPr>
        <w:spacing w:after="80"/>
      </w:pPr>
      <w:r>
        <w:t>9. Gasparrini A, Armstrong B, Kenward MG. Distributed lag non-linear models. Stat Med 2010;29:2224-34.</w:t>
      </w:r>
    </w:p>
    <w:p>
      <w:pPr>
        <w:spacing w:after="80"/>
      </w:pPr>
      <w:r>
        <w:t>10. Gasparrini A, Leone M. Attributable risk from distributed lag models. BMC Med Res Methodol 2014;14:55.</w:t>
      </w:r>
    </w:p>
    <w:p>
      <w:pPr>
        <w:spacing w:after="80"/>
      </w:pPr>
      <w:r>
        <w:t>11. Federal Highway Administration. Traffic Volume Trends. https://www.fhwa.dot.gov/policyinformation/travel_monitoring/tvt.cfm</w:t>
      </w:r>
    </w:p>
    <w:p>
      <w:pPr>
        <w:spacing w:after="80"/>
      </w:pPr>
      <w:r>
        <w:t>12. US Energy Information Administration. Weekly finished motor gasoline product supplied (PET.WGFUPUS2.W). https://www.eia.gov/</w:t>
      </w:r>
    </w:p>
    <w:p>
      <w:pPr>
        <w:spacing w:after="80"/>
      </w:pPr>
      <w:r>
        <w:t>13. US Census Bureau. Population Estimates Program. Annual state population estimates. https://www.census.gov/programs-surveys/popest.html</w:t>
      </w:r>
    </w:p>
    <w:p>
      <w:pPr>
        <w:spacing w:after="80"/>
      </w:pPr>
      <w:r>
        <w:t>14. Federal Highway Administration. Highway Statistics VM-2: Annual state vehicle-miles travelled. https://www.fhwa.dot.gov/policyinformation/statistics.cfm</w:t>
      </w:r>
    </w:p>
    <w:p>
      <w:pPr>
        <w:spacing w:after="80"/>
      </w:pPr>
      <w:r>
        <w:t>15. Centers for Disease Control and Prevention. CDC WONDER Underlying Cause of Death database. https://wonder.cdc.gov/</w:t>
      </w:r>
    </w:p>
    <w:p>
      <w:pPr>
        <w:spacing w:after="80"/>
      </w:pPr>
      <w:r>
        <w:t>16. IPCC. Climate Change 2021: The Physical Science Basis. Contribution of Working Group I to the Sixth Assessment Report of the Intergovernmental Panel on Climate Change. Cambridge: Cambridge University Press; 2021.</w:t>
      </w:r>
    </w:p>
    <w:p>
      <w:pPr>
        <w:spacing w:after="80"/>
      </w:pPr>
      <w:r>
        <w:t>17. European Commission, Directorate-General for Mobility and Transport. Community database on road accidents (CARE). https://road-safety.transport.ec.europa.eu/european-road-safety-observatory/methodology-and-research/care-database_en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