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Ambient heat is an established driver of mortality.</w:t>
      </w:r>
      <w:r>
        <w:rPr>
          <w:vertAlign w:val="superscript"/>
        </w:rPr>
        <w:t>1,2</w:t>
      </w:r>
      <w:r>
        <w:t xml:space="preserve"> Driving, riding and walking nonetheless continue in hot weather, and heat degrades psychomotor and cognitive performance.</w:t>
      </w:r>
      <w:r>
        <w:rPr>
          <w:vertAlign w:val="superscript"/>
        </w:rPr>
        <w:t>3</w:t>
      </w:r>
      <w:r>
        <w:t xml:space="preserve"> Ambient heat is therefore plausibly an under-recognised road-safety hazard: a crash-risk condition that agencies do not currently monitor, warn against or mitigate. Recent syntheses link higher ambient temperature to increased road traffic accidents and injuries,</w:t>
      </w:r>
      <w:r>
        <w:rPr>
          <w:vertAlign w:val="superscript"/>
        </w:rPr>
        <w:t>4,5</w:t>
      </w:r>
      <w:r>
        <w:t xml:space="preserve"> but fatal crashes have rarely been examined as a heat-related safety outcome in their own right. We therefore ask whether days that are hotter than the local seasonal norm carry excess traffic-crash mortality, which road users are most affected, and whether the circumstances of the excess crashes are consistent with a heat-impairment mechanism. One corollary is surveillance: because crash decedents rarely undergo post-mortem assessment for a heat contribution, any such contribution would be invisible in routine cause-of-death coding, so we also compare the magnitude with officially recorded direct-heat deaths. If ambient heat is a road-safety hazard, heat-aware crash-prevention messaging and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6</w:t>
      </w:r>
      <w:r>
        <w:t xml:space="preserve"> and by Japanese prefecture (National Police Agency [NPA] accident open data, 2019-2024).</w:t>
      </w:r>
      <w:r>
        <w:rPr>
          <w:vertAlign w:val="superscript"/>
        </w:rPr>
        <w:t>7</w:t>
      </w:r>
      <w:r>
        <w:t xml:space="preserve"> Daily mean temperature was taken from the Global Historical Climatology Network-Daily (GHCN-Daily) stations</w:t>
      </w:r>
      <w:r>
        <w:rPr>
          <w:vertAlign w:val="superscript"/>
        </w:rPr>
        <w:t>8</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9</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10</w:t>
      </w:r>
      <w:r>
        <w:t xml:space="preserve"> with Monte Carlo (MC) confidence intervals (CIs). As sensitivity analyses for the US we added (i) national vehicle-miles travelled (VMT)</w:t>
      </w:r>
      <w:r>
        <w:rPr>
          <w:vertAlign w:val="superscript"/>
        </w:rPr>
        <w:t>11</w:t>
      </w:r>
      <w:r>
        <w:t xml:space="preserve"> and finished-motor-gasoline product supplied</w:t>
      </w:r>
      <w:r>
        <w:rPr>
          <w:vertAlign w:val="superscript"/>
        </w:rPr>
        <w:t>12</w:t>
      </w:r>
      <w:r>
        <w:t xml:space="preserve"> as activity proxies, and (ii) a richer control set with state annual population entered as a log offset</w:t>
      </w:r>
      <w:r>
        <w:rPr>
          <w:vertAlign w:val="superscript"/>
        </w:rPr>
        <w:t>13</w:t>
      </w:r>
      <w:r>
        <w:t>, state annual VMT</w:t>
      </w:r>
      <w:r>
        <w:rPr>
          <w:vertAlign w:val="superscript"/>
        </w:rPr>
        <w:t>14</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15</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consistent with greater direct heat exposure, although mode-specific activity changes on hot days cannot be excluded.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Pr>
        <w:spacing w:before="280"/>
      </w:pPr>
      <w:r>
        <w:rPr>
          <w:b/>
        </w:rPr>
        <w:t xml:space="preserve">Figure 10. </w:t>
      </w:r>
      <w:r>
        <w:t>Japan temperature-anomaly exposure-response (2019-2024). The estimate is imprecise: the confidence band is wide and includes the null throughout.</w:t>
      </w:r>
    </w:p>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4,5</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e-bike and public bikeshare users are directly exposed open-air riders, and unshaded docking and charging points add thermal load during check-out and parking, so operators could integrate heat warnings into app-based routing and consider shade for docking infrastructure.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Daanen HAM, van de Vliert E, Huang X. Driving performance in cold, warm, and thermoneutral environments. Appl Ergon 2003;34:597-602.</w:t>
      </w:r>
    </w:p>
    <w:p>
      <w:pPr>
        <w:spacing w:after="80"/>
      </w:pPr>
      <w:r>
        <w:t>4. Liang M, Min M, Guo X, Song Q, Wang H, Li N, et al. The relationship between ambient temperatures and road traffic injuries: a systematic review and meta-analysis. Environ Sci Pollut Res 2022;29(33):50647-60.</w:t>
      </w:r>
    </w:p>
    <w:p>
      <w:pPr>
        <w:spacing w:after="80"/>
      </w:pPr>
      <w:r>
        <w:t>5. Liang M, Zhao D, Wu Y, Ye P, Wang Y, Yao Z, et al. Short-term effects of ambient temperature and road traffic accident injuries in Dalian, Northern China: A distributed lag non-linear analysis. Accid Anal Prev 2021;153:106057.</w:t>
      </w:r>
    </w:p>
    <w:p>
      <w:pPr>
        <w:spacing w:after="80"/>
      </w:pPr>
      <w:r>
        <w:t>6. National Highway Traffic Safety Administration. Fatality Analysis Reporting System (FARS). US Department of Transportation. https://www.nhtsa.gov/research-data/fatality-analysis-reporting-system-fars</w:t>
      </w:r>
    </w:p>
    <w:p>
      <w:pPr>
        <w:spacing w:after="80"/>
      </w:pPr>
      <w:r>
        <w:t>7. National Police Agency of Japan. Traffic accident statistics open data. https://www.npa.go.jp/publications/statistics/koutsuu/opendata/</w:t>
      </w:r>
    </w:p>
    <w:p>
      <w:pPr>
        <w:spacing w:after="80"/>
      </w:pPr>
      <w:r>
        <w:t>8. Menne MJ, Durre I, Vose RS, Gleason BE, Houston TG. An overview of the Global Historical Climatology Network-Daily database. J Atmos Ocean Technol 2012;29:897-910.</w:t>
      </w:r>
    </w:p>
    <w:p>
      <w:pPr>
        <w:spacing w:after="80"/>
      </w:pPr>
      <w:r>
        <w:t>9. Gasparrini A, Armstrong B, Kenward MG. Distributed lag non-linear models. Stat Med 2010;29:2224-34.</w:t>
      </w:r>
    </w:p>
    <w:p>
      <w:pPr>
        <w:spacing w:after="80"/>
      </w:pPr>
      <w:r>
        <w:t>10. Gasparrini A, Leone M. Attributable risk from distributed lag models. BMC Med Res Methodol 2014;14:55.</w:t>
      </w:r>
    </w:p>
    <w:p>
      <w:pPr>
        <w:spacing w:after="80"/>
      </w:pPr>
      <w:r>
        <w:t>11. Federal Highway Administration. Traffic Volume Trends. https://www.fhwa.dot.gov/policyinformation/travel_monitoring/tvt.cfm</w:t>
      </w:r>
    </w:p>
    <w:p>
      <w:pPr>
        <w:spacing w:after="80"/>
      </w:pPr>
      <w:r>
        <w:t>12. US Energy Information Administration. Weekly finished motor gasoline product supplied (PET.WGFUPUS2.W). https://www.eia.gov/</w:t>
      </w:r>
    </w:p>
    <w:p>
      <w:pPr>
        <w:spacing w:after="80"/>
      </w:pPr>
      <w:r>
        <w:t>13. US Census Bureau. Population Estimates Program. Annual state population estimates. https://www.census.gov/programs-surveys/popest.html</w:t>
      </w:r>
    </w:p>
    <w:p>
      <w:pPr>
        <w:spacing w:after="80"/>
      </w:pPr>
      <w:r>
        <w:t>14. Federal Highway Administration. Highway Statistics VM-2: Annual state vehicle-miles travelled. https://www.fhwa.dot.gov/policyinformation/statistics.cfm</w:t>
      </w:r>
    </w:p>
    <w:p>
      <w:pPr>
        <w:spacing w:after="80"/>
      </w:pPr>
      <w:r>
        <w:t>15. Centers for Disease Control and Prevention. CDC WONDER Underlying Cause of Death database. https://wonder.cdc.gov/</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