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 (editable)</w:t>
      </w:r>
    </w:p>
    <w:p>
      <w:pPr>
        <w:spacing w:before="280"/>
      </w:pPr>
      <w:r>
        <w:rPr>
          <w:b/>
        </w:rPr>
        <w:t xml:space="preserve">Table 1. </w:t>
      </w:r>
      <w:r>
        <w:t>Panel description and model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United States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Japan</w:t>
            </w:r>
          </w:p>
        </w:tc>
      </w:tr>
      <w:tr>
        <w:tc>
          <w:tcPr>
            <w:tcW w:type="dxa" w:w="2880"/>
          </w:tcPr>
          <w:p>
            <w:r>
              <w:t>Crash deaths</w:t>
            </w:r>
          </w:p>
        </w:tc>
        <w:tc>
          <w:tcPr>
            <w:tcW w:type="dxa" w:w="2880"/>
          </w:tcPr>
          <w:p>
            <w:r>
              <w:t>272,586</w:t>
            </w:r>
          </w:p>
        </w:tc>
        <w:tc>
          <w:tcPr>
            <w:tcW w:type="dxa" w:w="2880"/>
          </w:tcPr>
          <w:p>
            <w:r>
              <w:t>11,576</w:t>
            </w:r>
          </w:p>
        </w:tc>
      </w:tr>
      <w:tr>
        <w:tc>
          <w:tcPr>
            <w:tcW w:type="dxa" w:w="2880"/>
          </w:tcPr>
          <w:p>
            <w:r>
              <w:t>Years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Spatial units</w:t>
            </w:r>
          </w:p>
        </w:tc>
        <w:tc>
          <w:tcPr>
            <w:tcW w:type="dxa" w:w="2880"/>
          </w:tcPr>
          <w:p>
            <w:r>
              <w:t>50 states</w:t>
            </w:r>
          </w:p>
        </w:tc>
        <w:tc>
          <w:tcPr>
            <w:tcW w:type="dxa" w:w="2880"/>
          </w:tcPr>
          <w:p>
            <w:r>
              <w:t>47 prefectures</w:t>
            </w:r>
          </w:p>
        </w:tc>
      </w:tr>
      <w:tr>
        <w:tc>
          <w:tcPr>
            <w:tcW w:type="dxa" w:w="2880"/>
          </w:tcPr>
          <w:p>
            <w:r>
              <w:t>Dispersion (phi)</w:t>
            </w:r>
          </w:p>
        </w:tc>
        <w:tc>
          <w:tcPr>
            <w:tcW w:type="dxa" w:w="2880"/>
          </w:tcPr>
          <w:p>
            <w:r>
              <w:t>1.23</w:t>
            </w:r>
          </w:p>
        </w:tc>
        <w:tc>
          <w:tcPr>
            <w:tcW w:type="dxa" w:w="2880"/>
          </w:tcPr>
          <w:p>
            <w:r>
              <w:t>1.05</w:t>
            </w:r>
          </w:p>
        </w:tc>
      </w:tr>
    </w:tbl>
    <w:p/>
    <w:p>
      <w:pPr>
        <w:spacing w:before="280"/>
      </w:pPr>
      <w:r>
        <w:rPr>
          <w:b/>
        </w:rPr>
        <w:t xml:space="preserve">Table 2. </w:t>
      </w:r>
      <w:r>
        <w:t>Rate ratio of traffic-crash deaths for a +9 °C temperature anomaly, by lag window.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Lag window (days)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United States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Japan</w:t>
            </w:r>
          </w:p>
        </w:tc>
      </w:tr>
      <w:tr>
        <w:tc>
          <w:tcPr>
            <w:tcW w:type="dxa" w:w="2880"/>
          </w:tcPr>
          <w:p>
            <w:r>
              <w:t>0 (same day)</w:t>
            </w:r>
          </w:p>
        </w:tc>
        <w:tc>
          <w:tcPr>
            <w:tcW w:type="dxa" w:w="2880"/>
          </w:tcPr>
          <w:p>
            <w:r>
              <w:t>1.165 (1.135-1.196)</w:t>
            </w:r>
          </w:p>
        </w:tc>
        <w:tc>
          <w:tcPr>
            <w:tcW w:type="dxa" w:w="2880"/>
          </w:tcPr>
          <w:p>
            <w:r>
              <w:t>0.940 (0.743-1.190)</w:t>
            </w:r>
          </w:p>
        </w:tc>
      </w:tr>
      <w:tr>
        <w:tc>
          <w:tcPr>
            <w:tcW w:type="dxa" w:w="2880"/>
          </w:tcPr>
          <w:p>
            <w:r>
              <w:t>1-3</w:t>
            </w:r>
          </w:p>
        </w:tc>
        <w:tc>
          <w:tcPr>
            <w:tcW w:type="dxa" w:w="2880"/>
          </w:tcPr>
          <w:p>
            <w:r>
              <w:t>0.936 (0.904-0.968)</w:t>
            </w:r>
          </w:p>
        </w:tc>
        <w:tc>
          <w:tcPr>
            <w:tcW w:type="dxa" w:w="2880"/>
          </w:tcPr>
          <w:p>
            <w:r>
              <w:t>1.146 (0.739-1.779)</w:t>
            </w:r>
          </w:p>
        </w:tc>
      </w:tr>
      <w:tr>
        <w:tc>
          <w:tcPr>
            <w:tcW w:type="dxa" w:w="2880"/>
          </w:tcPr>
          <w:p>
            <w:r>
              <w:t>4-10</w:t>
            </w:r>
          </w:p>
        </w:tc>
        <w:tc>
          <w:tcPr>
            <w:tcW w:type="dxa" w:w="2880"/>
          </w:tcPr>
          <w:p>
            <w:r>
              <w:t>0.987 (0.941-1.036)</w:t>
            </w:r>
          </w:p>
        </w:tc>
        <w:tc>
          <w:tcPr>
            <w:tcW w:type="dxa" w:w="2880"/>
          </w:tcPr>
          <w:p>
            <w:r>
              <w:t>0.521 (0.217-1.249)</w:t>
            </w:r>
          </w:p>
        </w:tc>
      </w:tr>
      <w:tr>
        <w:tc>
          <w:tcPr>
            <w:tcW w:type="dxa" w:w="2880"/>
          </w:tcPr>
          <w:p>
            <w:r>
              <w:t>Cumulative 0-10</w:t>
            </w:r>
          </w:p>
        </w:tc>
        <w:tc>
          <w:tcPr>
            <w:tcW w:type="dxa" w:w="2880"/>
          </w:tcPr>
          <w:p>
            <w:r>
              <w:t>1.076 (95% CI 1.017-1.139)</w:t>
            </w:r>
          </w:p>
        </w:tc>
        <w:tc>
          <w:tcPr>
            <w:tcW w:type="dxa" w:w="2880"/>
          </w:tcPr>
          <w:p>
            <w:r>
              <w:t>0.562 (95% CI 0.207-1.525)</w:t>
            </w:r>
          </w:p>
        </w:tc>
      </w:tr>
    </w:tbl>
    <w:p/>
    <w:p>
      <w:pPr>
        <w:spacing w:before="280"/>
      </w:pPr>
      <w:r>
        <w:rPr>
          <w:b/>
        </w:rPr>
        <w:t xml:space="preserve">Table 3. </w:t>
      </w:r>
      <w:r>
        <w:t>United States same-day rate ratio of crash death for a +9 °C anomaly, by road-user type and age band (vulnerability analysis).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Subgroup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Crash deaths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Same-day RR (95% CI)</w:t>
            </w:r>
          </w:p>
        </w:tc>
      </w:tr>
      <w:tr>
        <w:tc>
          <w:tcPr>
            <w:tcW w:type="dxa" w:w="2880"/>
          </w:tcPr>
          <w:p>
            <w:r>
              <w:t>Vehicle occupant</w:t>
            </w:r>
          </w:p>
        </w:tc>
        <w:tc>
          <w:tcPr>
            <w:tcW w:type="dxa" w:w="2880"/>
          </w:tcPr>
          <w:p>
            <w:r>
              <w:t>179,618</w:t>
            </w:r>
          </w:p>
        </w:tc>
        <w:tc>
          <w:tcPr>
            <w:tcW w:type="dxa" w:w="2880"/>
          </w:tcPr>
          <w:p>
            <w:r>
              <w:t>1.050 (1.017-1.085)</w:t>
            </w:r>
          </w:p>
        </w:tc>
      </w:tr>
      <w:tr>
        <w:tc>
          <w:tcPr>
            <w:tcW w:type="dxa" w:w="2880"/>
          </w:tcPr>
          <w:p>
            <w:r>
              <w:t>Motorcyclist</w:t>
            </w:r>
          </w:p>
        </w:tc>
        <w:tc>
          <w:tcPr>
            <w:tcW w:type="dxa" w:w="2880"/>
          </w:tcPr>
          <w:p>
            <w:r>
              <w:t>38,644</w:t>
            </w:r>
          </w:p>
        </w:tc>
        <w:tc>
          <w:tcPr>
            <w:tcW w:type="dxa" w:w="2880"/>
          </w:tcPr>
          <w:p>
            <w:r>
              <w:t>2.140 (2.000-2.290)</w:t>
            </w:r>
          </w:p>
        </w:tc>
      </w:tr>
      <w:tr>
        <w:tc>
          <w:tcPr>
            <w:tcW w:type="dxa" w:w="2880"/>
          </w:tcPr>
          <w:p>
            <w:r>
              <w:t>Pedestrian</w:t>
            </w:r>
          </w:p>
        </w:tc>
        <w:tc>
          <w:tcPr>
            <w:tcW w:type="dxa" w:w="2880"/>
          </w:tcPr>
          <w:p>
            <w:r>
              <w:t>46,429</w:t>
            </w:r>
          </w:p>
        </w:tc>
        <w:tc>
          <w:tcPr>
            <w:tcW w:type="dxa" w:w="2880"/>
          </w:tcPr>
          <w:p>
            <w:r>
              <w:t>1.215 (1.147-1.288)</w:t>
            </w:r>
          </w:p>
        </w:tc>
      </w:tr>
      <w:tr>
        <w:tc>
          <w:tcPr>
            <w:tcW w:type="dxa" w:w="2880"/>
          </w:tcPr>
          <w:p>
            <w:r>
              <w:t>Cyclist</w:t>
            </w:r>
          </w:p>
        </w:tc>
        <w:tc>
          <w:tcPr>
            <w:tcW w:type="dxa" w:w="2880"/>
          </w:tcPr>
          <w:p>
            <w:r>
              <w:t>6,382</w:t>
            </w:r>
          </w:p>
        </w:tc>
        <w:tc>
          <w:tcPr>
            <w:tcW w:type="dxa" w:w="2880"/>
          </w:tcPr>
          <w:p>
            <w:r>
              <w:t>1.243 (1.038-1.490)</w:t>
            </w:r>
          </w:p>
        </w:tc>
      </w:tr>
      <w:tr>
        <w:tc>
          <w:tcPr>
            <w:tcW w:type="dxa" w:w="2880"/>
          </w:tcPr>
          <w:p>
            <w:r>
              <w:t>Age &lt;25 y</w:t>
            </w:r>
          </w:p>
        </w:tc>
        <w:tc>
          <w:tcPr>
            <w:tcW w:type="dxa" w:w="2880"/>
          </w:tcPr>
          <w:p>
            <w:r>
              <w:t>54,404</w:t>
            </w:r>
          </w:p>
        </w:tc>
        <w:tc>
          <w:tcPr>
            <w:tcW w:type="dxa" w:w="2880"/>
          </w:tcPr>
          <w:p>
            <w:r>
              <w:t>1.123 (1.059-1.190)</w:t>
            </w:r>
          </w:p>
        </w:tc>
      </w:tr>
      <w:tr>
        <w:tc>
          <w:tcPr>
            <w:tcW w:type="dxa" w:w="2880"/>
          </w:tcPr>
          <w:p>
            <w:r>
              <w:t>Age 25-64 y</w:t>
            </w:r>
          </w:p>
        </w:tc>
        <w:tc>
          <w:tcPr>
            <w:tcW w:type="dxa" w:w="2880"/>
          </w:tcPr>
          <w:p>
            <w:r>
              <w:t>168,001</w:t>
            </w:r>
          </w:p>
        </w:tc>
        <w:tc>
          <w:tcPr>
            <w:tcW w:type="dxa" w:w="2880"/>
          </w:tcPr>
          <w:p>
            <w:r>
              <w:t>1.176 (1.139-1.215)</w:t>
            </w:r>
          </w:p>
        </w:tc>
      </w:tr>
      <w:tr>
        <w:tc>
          <w:tcPr>
            <w:tcW w:type="dxa" w:w="2880"/>
          </w:tcPr>
          <w:p>
            <w:r>
              <w:t>Age 65+ y</w:t>
            </w:r>
          </w:p>
        </w:tc>
        <w:tc>
          <w:tcPr>
            <w:tcW w:type="dxa" w:w="2880"/>
          </w:tcPr>
          <w:p>
            <w:r>
              <w:t>50,068</w:t>
            </w:r>
          </w:p>
        </w:tc>
        <w:tc>
          <w:tcPr>
            <w:tcW w:type="dxa" w:w="2880"/>
          </w:tcPr>
          <w:p>
            <w:r>
              <w:t>1.176 (1.113-1.242)</w:t>
            </w:r>
          </w:p>
        </w:tc>
      </w:tr>
    </w:tbl>
    <w:p/>
    <w:p>
      <w:pPr>
        <w:spacing w:before="280"/>
      </w:pPr>
      <w:r>
        <w:rPr>
          <w:b/>
        </w:rPr>
        <w:t xml:space="preserve">Table 4. </w:t>
      </w:r>
      <w:r>
        <w:t>United States net heat-attributable crash deaths versus officially recorded direct-heat deaths.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Estimate</w:t>
            </w:r>
          </w:p>
        </w:tc>
      </w:tr>
      <w:tr>
        <w:tc>
          <w:tcPr>
            <w:tcW w:type="dxa" w:w="4320"/>
          </w:tcPr>
          <w:p>
            <w:r>
              <w:t>Net heat-attributable crash deaths / year</w:t>
            </w:r>
          </w:p>
        </w:tc>
        <w:tc>
          <w:tcPr>
            <w:tcW w:type="dxa" w:w="4320"/>
          </w:tcPr>
          <w:p>
            <w:r>
              <w:t>528</w:t>
            </w:r>
          </w:p>
        </w:tc>
      </w:tr>
      <w:tr>
        <w:tc>
          <w:tcPr>
            <w:tcW w:type="dxa" w:w="4320"/>
          </w:tcPr>
          <w:p>
            <w:r>
              <w:t>Attributable fraction (%)</w:t>
            </w:r>
          </w:p>
        </w:tc>
        <w:tc>
          <w:tcPr>
            <w:tcW w:type="dxa" w:w="4320"/>
          </w:tcPr>
          <w:p>
            <w:r>
              <w:t>1.36</w:t>
            </w:r>
          </w:p>
        </w:tc>
      </w:tr>
      <w:tr>
        <w:tc>
          <w:tcPr>
            <w:tcW w:type="dxa" w:w="4320"/>
          </w:tcPr>
          <w:p>
            <w:r>
              <w:t>Official direct-heat deaths / year (X30, 2016-2020)</w:t>
            </w:r>
          </w:p>
        </w:tc>
        <w:tc>
          <w:tcPr>
            <w:tcW w:type="dxa" w:w="4320"/>
          </w:tcPr>
          <w:p>
            <w:r>
              <w:t>527</w:t>
            </w:r>
          </w:p>
        </w:tc>
      </w:tr>
    </w:tbl>
    <w:p/>
    <w:p>
      <w:pPr>
        <w:spacing w:before="280"/>
      </w:pPr>
      <w:r>
        <w:rPr>
          <w:b/>
        </w:rPr>
        <w:t xml:space="preserve">Table 5. </w:t>
      </w:r>
      <w:r>
        <w:t>United States projected additional traffic-crash deaths per year under uniform warming (activity held constant); scenario projection, not observed.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Warming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Additional deaths/year (95% CI)</w:t>
            </w:r>
          </w:p>
        </w:tc>
      </w:tr>
      <w:tr>
        <w:tc>
          <w:tcPr>
            <w:tcW w:type="dxa" w:w="4320"/>
          </w:tcPr>
          <w:p>
            <w:r>
              <w:t>+1°C</w:t>
            </w:r>
          </w:p>
        </w:tc>
        <w:tc>
          <w:tcPr>
            <w:tcW w:type="dxa" w:w="4320"/>
          </w:tcPr>
          <w:p>
            <w:r>
              <w:t>347 (257-436)</w:t>
            </w:r>
          </w:p>
        </w:tc>
      </w:tr>
      <w:tr>
        <w:tc>
          <w:tcPr>
            <w:tcW w:type="dxa" w:w="4320"/>
          </w:tcPr>
          <w:p>
            <w:r>
              <w:t>+2°C</w:t>
            </w:r>
          </w:p>
        </w:tc>
        <w:tc>
          <w:tcPr>
            <w:tcW w:type="dxa" w:w="4320"/>
          </w:tcPr>
          <w:p>
            <w:r>
              <w:t>678 (474-881)</w:t>
            </w:r>
          </w:p>
        </w:tc>
      </w:tr>
      <w:tr>
        <w:tc>
          <w:tcPr>
            <w:tcW w:type="dxa" w:w="4320"/>
          </w:tcPr>
          <w:p>
            <w:r>
              <w:t>+3°C</w:t>
            </w:r>
          </w:p>
        </w:tc>
        <w:tc>
          <w:tcPr>
            <w:tcW w:type="dxa" w:w="4320"/>
          </w:tcPr>
          <w:p>
            <w:r>
              <w:t>1009 (667-1384)</w:t>
            </w:r>
          </w:p>
        </w:tc>
      </w:tr>
    </w:tbl>
    <w:p/>
    <w:p>
      <w:pPr>
        <w:spacing w:before="280"/>
      </w:pPr>
      <w:r>
        <w:rPr>
          <w:b/>
        </w:rPr>
        <w:t xml:space="preserve">Table 6. </w:t>
      </w:r>
      <w:r>
        <w:t>United States same-day rate ratio of crash death for a +9 °C anomaly, by crash circumstances (crash-level strata). Single-vehicle crashes are those whose first harmful event was not a collision with a motor vehicle in transport (includes run-off-road and pedestrian crashes); driver drinking is police-reported for any involved driver; crashes with unreported or unknown drinking status are excluded. Subgroup analyses are exploratory and not adjusted for multiple comparisons.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Stratum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Crash deaths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Same-day RR (95% CI)</w:t>
            </w:r>
          </w:p>
        </w:tc>
      </w:tr>
      <w:tr>
        <w:tc>
          <w:tcPr>
            <w:tcW w:type="dxa" w:w="2880"/>
          </w:tcPr>
          <w:p>
            <w:r>
              <w:t>Manner of collision: Single-vehicle (not a MVIT collision)</w:t>
            </w:r>
          </w:p>
        </w:tc>
        <w:tc>
          <w:tcPr>
            <w:tcW w:type="dxa" w:w="2880"/>
          </w:tcPr>
          <w:p>
            <w:r>
              <w:t>160,517</w:t>
            </w:r>
          </w:p>
        </w:tc>
        <w:tc>
          <w:tcPr>
            <w:tcW w:type="dxa" w:w="2880"/>
          </w:tcPr>
          <w:p>
            <w:r>
              <w:t>1.199 (1.161-1.238)</w:t>
            </w:r>
          </w:p>
        </w:tc>
      </w:tr>
      <w:tr>
        <w:tc>
          <w:tcPr>
            <w:tcW w:type="dxa" w:w="2880"/>
          </w:tcPr>
          <w:p>
            <w:r>
              <w:t>Manner of collision: Multi-vehicle collision</w:t>
            </w:r>
          </w:p>
        </w:tc>
        <w:tc>
          <w:tcPr>
            <w:tcW w:type="dxa" w:w="2880"/>
          </w:tcPr>
          <w:p>
            <w:r>
              <w:t>111,415</w:t>
            </w:r>
          </w:p>
        </w:tc>
        <w:tc>
          <w:tcPr>
            <w:tcW w:type="dxa" w:w="2880"/>
          </w:tcPr>
          <w:p>
            <w:r>
              <w:t>1.113 (1.066-1.162)</w:t>
            </w:r>
          </w:p>
        </w:tc>
      </w:tr>
      <w:tr>
        <w:tc>
          <w:tcPr>
            <w:tcW w:type="dxa" w:w="2880"/>
          </w:tcPr>
          <w:p>
            <w:r>
              <w:t>Weather condition: Clear or cloudy</w:t>
            </w:r>
          </w:p>
        </w:tc>
        <w:tc>
          <w:tcPr>
            <w:tcW w:type="dxa" w:w="2880"/>
          </w:tcPr>
          <w:p>
            <w:r>
              <w:t>212,319</w:t>
            </w:r>
          </w:p>
        </w:tc>
        <w:tc>
          <w:tcPr>
            <w:tcW w:type="dxa" w:w="2880"/>
          </w:tcPr>
          <w:p>
            <w:r>
              <w:t>1.185 (1.148-1.224)</w:t>
            </w:r>
          </w:p>
        </w:tc>
      </w:tr>
      <w:tr>
        <w:tc>
          <w:tcPr>
            <w:tcW w:type="dxa" w:w="2880"/>
          </w:tcPr>
          <w:p>
            <w:r>
              <w:t>Weather condition: Adverse (rain, snow, fog, wind)</w:t>
            </w:r>
          </w:p>
        </w:tc>
        <w:tc>
          <w:tcPr>
            <w:tcW w:type="dxa" w:w="2880"/>
          </w:tcPr>
          <w:p>
            <w:r>
              <w:t>44,401</w:t>
            </w:r>
          </w:p>
        </w:tc>
        <w:tc>
          <w:tcPr>
            <w:tcW w:type="dxa" w:w="2880"/>
          </w:tcPr>
          <w:p>
            <w:r>
              <w:t>1.119 (1.054-1.188)</w:t>
            </w:r>
          </w:p>
        </w:tc>
      </w:tr>
      <w:tr>
        <w:tc>
          <w:tcPr>
            <w:tcW w:type="dxa" w:w="2880"/>
          </w:tcPr>
          <w:p>
            <w:r>
              <w:t>Land use: Rural</w:t>
            </w:r>
          </w:p>
        </w:tc>
        <w:tc>
          <w:tcPr>
            <w:tcW w:type="dxa" w:w="2880"/>
          </w:tcPr>
          <w:p>
            <w:r>
              <w:t>119,138</w:t>
            </w:r>
          </w:p>
        </w:tc>
        <w:tc>
          <w:tcPr>
            <w:tcW w:type="dxa" w:w="2880"/>
          </w:tcPr>
          <w:p>
            <w:r>
              <w:t>1.139 (1.096-1.184)</w:t>
            </w:r>
          </w:p>
        </w:tc>
      </w:tr>
      <w:tr>
        <w:tc>
          <w:tcPr>
            <w:tcW w:type="dxa" w:w="2880"/>
          </w:tcPr>
          <w:p>
            <w:r>
              <w:t>Land use: Urban</w:t>
            </w:r>
          </w:p>
        </w:tc>
        <w:tc>
          <w:tcPr>
            <w:tcW w:type="dxa" w:w="2880"/>
          </w:tcPr>
          <w:p>
            <w:r>
              <w:t>153,418</w:t>
            </w:r>
          </w:p>
        </w:tc>
        <w:tc>
          <w:tcPr>
            <w:tcW w:type="dxa" w:w="2880"/>
          </w:tcPr>
          <w:p>
            <w:r>
              <w:t>1.190 (1.150-1.232)</w:t>
            </w:r>
          </w:p>
        </w:tc>
      </w:tr>
      <w:tr>
        <w:tc>
          <w:tcPr>
            <w:tcW w:type="dxa" w:w="2880"/>
          </w:tcPr>
          <w:p>
            <w:r>
              <w:t>Driver drinking: No drinking driver</w:t>
            </w:r>
          </w:p>
        </w:tc>
        <w:tc>
          <w:tcPr>
            <w:tcW w:type="dxa" w:w="2880"/>
          </w:tcPr>
          <w:p>
            <w:r>
              <w:t>121,958</w:t>
            </w:r>
          </w:p>
        </w:tc>
        <w:tc>
          <w:tcPr>
            <w:tcW w:type="dxa" w:w="2880"/>
          </w:tcPr>
          <w:p>
            <w:r>
              <w:t>1.178 (1.133-1.224)</w:t>
            </w:r>
          </w:p>
        </w:tc>
      </w:tr>
      <w:tr>
        <w:tc>
          <w:tcPr>
            <w:tcW w:type="dxa" w:w="2880"/>
          </w:tcPr>
          <w:p>
            <w:r>
              <w:t>Driver drinking: Drinking driver involved</w:t>
            </w:r>
          </w:p>
        </w:tc>
        <w:tc>
          <w:tcPr>
            <w:tcW w:type="dxa" w:w="2880"/>
          </w:tcPr>
          <w:p>
            <w:r>
              <w:t>47,963</w:t>
            </w:r>
          </w:p>
        </w:tc>
        <w:tc>
          <w:tcPr>
            <w:tcW w:type="dxa" w:w="2880"/>
          </w:tcPr>
          <w:p>
            <w:r>
              <w:t>1.191 (1.119-1.269)</w:t>
            </w:r>
          </w:p>
        </w:tc>
      </w:tr>
    </w:tbl>
    <w:p/>
    <w:p>
      <w:pPr>
        <w:spacing w:before="280"/>
      </w:pPr>
      <w:r>
        <w:rPr>
          <w:b/>
        </w:rPr>
        <w:t xml:space="preserve">Table 7. </w:t>
      </w:r>
      <w:r>
        <w:t>United States sensitivity of the +9 °C anomaly association to activity, precipitation and heat-stress controls. All added continuous controls were z-scored; population entered as a log offset; heat-stress metrics were anomaly-derived. The VIF &lt; 10 row is the primary full-controls model, selected by iteratively removing added controls with VIF &gt; 10. A stricter VIF &lt; 5 screen and an unscreened model are also shown. Heat-stress metrics were tested individually because they are functions of temperature and can be collinear with the anomaly.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Same-day RR (95% CI)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Cumulative RR (95% CI)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Max control VIF</w:t>
            </w:r>
          </w:p>
        </w:tc>
      </w:tr>
      <w:tr>
        <w:tc>
          <w:tcPr>
            <w:tcW w:type="dxa" w:w="2160"/>
          </w:tcPr>
          <w:p>
            <w:r>
              <w:t>National VMT + motor gasoline</w:t>
            </w:r>
          </w:p>
        </w:tc>
        <w:tc>
          <w:tcPr>
            <w:tcW w:type="dxa" w:w="2160"/>
          </w:tcPr>
          <w:p>
            <w:r>
              <w:t>1.163 (1.133-1.194)</w:t>
            </w:r>
          </w:p>
        </w:tc>
        <w:tc>
          <w:tcPr>
            <w:tcW w:type="dxa" w:w="2160"/>
          </w:tcPr>
          <w:p>
            <w:r>
              <w:t>1.075 (1.015-1.138)</w:t>
            </w:r>
          </w:p>
        </w:tc>
        <w:tc>
          <w:tcPr>
            <w:tcW w:type="dxa" w:w="2160"/>
          </w:tcPr>
          <w:p>
            <w:r>
              <w:t>5.3</w:t>
            </w:r>
          </w:p>
        </w:tc>
      </w:tr>
      <w:tr>
        <w:tc>
          <w:tcPr>
            <w:tcW w:type="dxa" w:w="2160"/>
          </w:tcPr>
          <w:p>
            <w:r>
              <w:t>State population offset</w:t>
            </w:r>
          </w:p>
        </w:tc>
        <w:tc>
          <w:tcPr>
            <w:tcW w:type="dxa" w:w="2160"/>
          </w:tcPr>
          <w:p>
            <w:r>
              <w:t>1.165 (1.135-1.196)</w:t>
            </w:r>
          </w:p>
        </w:tc>
        <w:tc>
          <w:tcPr>
            <w:tcW w:type="dxa" w:w="2160"/>
          </w:tcPr>
          <w:p>
            <w:r>
              <w:t>1.075 (1.015-1.138)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+ state annual VMT</w:t>
            </w:r>
          </w:p>
        </w:tc>
        <w:tc>
          <w:tcPr>
            <w:tcW w:type="dxa" w:w="2160"/>
          </w:tcPr>
          <w:p>
            <w:r>
              <w:t>1.165 (1.135-1.196)</w:t>
            </w:r>
          </w:p>
        </w:tc>
        <w:tc>
          <w:tcPr>
            <w:tcW w:type="dxa" w:w="2160"/>
          </w:tcPr>
          <w:p>
            <w:r>
              <w:t>1.073 (1.014-1.136)</w:t>
            </w:r>
          </w:p>
        </w:tc>
        <w:tc>
          <w:tcPr>
            <w:tcW w:type="dxa" w:w="2160"/>
          </w:tcPr>
          <w:p>
            <w:r>
              <w:t>323.8</w:t>
            </w:r>
          </w:p>
        </w:tc>
      </w:tr>
      <w:tr>
        <w:tc>
          <w:tcPr>
            <w:tcW w:type="dxa" w:w="2160"/>
          </w:tcPr>
          <w:p>
            <w:r>
              <w:t>+ state VMT + precipitation</w:t>
            </w:r>
          </w:p>
        </w:tc>
        <w:tc>
          <w:tcPr>
            <w:tcW w:type="dxa" w:w="2160"/>
          </w:tcPr>
          <w:p>
            <w:r>
              <w:t>1.165 (1.135-1.196)</w:t>
            </w:r>
          </w:p>
        </w:tc>
        <w:tc>
          <w:tcPr>
            <w:tcW w:type="dxa" w:w="2160"/>
          </w:tcPr>
          <w:p>
            <w:r>
              <w:t>1.082 (1.022-1.145)</w:t>
            </w:r>
          </w:p>
        </w:tc>
        <w:tc>
          <w:tcPr>
            <w:tcW w:type="dxa" w:w="2160"/>
          </w:tcPr>
          <w:p>
            <w:r>
              <w:t>323.8</w:t>
            </w:r>
          </w:p>
        </w:tc>
      </w:tr>
      <w:tr>
        <w:tc>
          <w:tcPr>
            <w:tcW w:type="dxa" w:w="2160"/>
          </w:tcPr>
          <w:p>
            <w:r>
              <w:t>Full controls, no VIF screen</w:t>
            </w:r>
          </w:p>
        </w:tc>
        <w:tc>
          <w:tcPr>
            <w:tcW w:type="dxa" w:w="2160"/>
          </w:tcPr>
          <w:p>
            <w:r>
              <w:t>1.070 (1.021-1.121)</w:t>
            </w:r>
          </w:p>
        </w:tc>
        <w:tc>
          <w:tcPr>
            <w:tcW w:type="dxa" w:w="2160"/>
          </w:tcPr>
          <w:p>
            <w:r>
              <w:t>1.005 (0.941-1.073)</w:t>
            </w:r>
          </w:p>
        </w:tc>
        <w:tc>
          <w:tcPr>
            <w:tcW w:type="dxa" w:w="2160"/>
          </w:tcPr>
          <w:p>
            <w:r>
              <w:t>323.8</w:t>
            </w:r>
          </w:p>
        </w:tc>
      </w:tr>
      <w:tr>
        <w:tc>
          <w:tcPr>
            <w:tcW w:type="dxa" w:w="2160"/>
          </w:tcPr>
          <w:p>
            <w:r>
              <w:t>VIF-screened full controls (VIF &lt; 10)</w:t>
            </w:r>
          </w:p>
        </w:tc>
        <w:tc>
          <w:tcPr>
            <w:tcW w:type="dxa" w:w="2160"/>
          </w:tcPr>
          <w:p>
            <w:r>
              <w:t>1.170 (1.122-1.219)</w:t>
            </w:r>
          </w:p>
        </w:tc>
        <w:tc>
          <w:tcPr>
            <w:tcW w:type="dxa" w:w="2160"/>
          </w:tcPr>
          <w:p>
            <w:r>
              <w:t>1.086 (1.019-1.157)</w:t>
            </w:r>
          </w:p>
        </w:tc>
        <w:tc>
          <w:tcPr>
            <w:tcW w:type="dxa" w:w="2160"/>
          </w:tcPr>
          <w:p>
            <w:r>
              <w:t>8.5</w:t>
            </w:r>
          </w:p>
        </w:tc>
      </w:tr>
      <w:tr>
        <w:tc>
          <w:tcPr>
            <w:tcW w:type="dxa" w:w="2160"/>
          </w:tcPr>
          <w:p>
            <w:r>
              <w:t>VIF-screened full controls (VIF &lt; 5)</w:t>
            </w:r>
          </w:p>
        </w:tc>
        <w:tc>
          <w:tcPr>
            <w:tcW w:type="dxa" w:w="2160"/>
          </w:tcPr>
          <w:p>
            <w:r>
              <w:t>1.165 (1.135-1.196)</w:t>
            </w:r>
          </w:p>
        </w:tc>
        <w:tc>
          <w:tcPr>
            <w:tcW w:type="dxa" w:w="2160"/>
          </w:tcPr>
          <w:p>
            <w:r>
              <w:t>1.083 (1.023-1.146)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2160"/>
          </w:tcPr>
          <w:p>
            <w:r>
              <w:t>+ humidex anomaly</w:t>
            </w:r>
          </w:p>
        </w:tc>
        <w:tc>
          <w:tcPr>
            <w:tcW w:type="dxa" w:w="2160"/>
          </w:tcPr>
          <w:p>
            <w:r>
              <w:t>1.176 (1.128-1.226)</w:t>
            </w:r>
          </w:p>
        </w:tc>
        <w:tc>
          <w:tcPr>
            <w:tcW w:type="dxa" w:w="2160"/>
          </w:tcPr>
          <w:p>
            <w:r>
              <w:t>1.089 (1.023-1.160)</w:t>
            </w:r>
          </w:p>
        </w:tc>
        <w:tc>
          <w:tcPr>
            <w:tcW w:type="dxa" w:w="2160"/>
          </w:tcPr>
          <w:p>
            <w:r>
              <w:t>323.8</w:t>
            </w:r>
          </w:p>
        </w:tc>
      </w:tr>
      <w:tr>
        <w:tc>
          <w:tcPr>
            <w:tcW w:type="dxa" w:w="2160"/>
          </w:tcPr>
          <w:p>
            <w:r>
              <w:t>+ heat-index anomaly</w:t>
            </w:r>
          </w:p>
        </w:tc>
        <w:tc>
          <w:tcPr>
            <w:tcW w:type="dxa" w:w="2160"/>
          </w:tcPr>
          <w:p>
            <w:r>
              <w:t>1.049 (1.002-1.097)</w:t>
            </w:r>
          </w:p>
        </w:tc>
        <w:tc>
          <w:tcPr>
            <w:tcW w:type="dxa" w:w="2160"/>
          </w:tcPr>
          <w:p>
            <w:r>
              <w:t>0.989 (0.927-1.055)</w:t>
            </w:r>
          </w:p>
        </w:tc>
        <w:tc>
          <w:tcPr>
            <w:tcW w:type="dxa" w:w="2160"/>
          </w:tcPr>
          <w:p>
            <w:r>
              <w:t>323.8</w:t>
            </w:r>
          </w:p>
        </w:tc>
      </w:tr>
      <w:tr>
        <w:tc>
          <w:tcPr>
            <w:tcW w:type="dxa" w:w="2160"/>
          </w:tcPr>
          <w:p>
            <w:r>
              <w:t>+ estimated WBGT anomaly</w:t>
            </w:r>
          </w:p>
        </w:tc>
        <w:tc>
          <w:tcPr>
            <w:tcW w:type="dxa" w:w="2160"/>
          </w:tcPr>
          <w:p>
            <w:r>
              <w:t>1.168 (1.120-1.217)</w:t>
            </w:r>
          </w:p>
        </w:tc>
        <w:tc>
          <w:tcPr>
            <w:tcW w:type="dxa" w:w="2160"/>
          </w:tcPr>
          <w:p>
            <w:r>
              <w:t>1.083 (1.017-1.154)</w:t>
            </w:r>
          </w:p>
        </w:tc>
        <w:tc>
          <w:tcPr>
            <w:tcW w:type="dxa" w:w="2160"/>
          </w:tcPr>
          <w:p>
            <w:r>
              <w:t>323.8</w:t>
            </w:r>
          </w:p>
        </w:tc>
      </w:tr>
    </w:tbl>
    <w:p/>
    <w:p>
      <w:pPr>
        <w:spacing w:before="280"/>
      </w:pPr>
      <w:r>
        <w:rPr>
          <w:b/>
        </w:rPr>
        <w:t xml:space="preserve">Table 8. </w:t>
      </w:r>
      <w:r>
        <w:t>Japan same-day rate ratio of crash death for a +9 °C anomaly, by accident type (NPA classification: single-vehicle, vehicle-vehicle, vehicle-pedestrian; the fatality in a vehicle-pedestrian accident is the struck pedestrian) and by prefecture population density, split at the median as a proxy for public-transport availability. All estimates are underpowered; analyses are exploratory and not adjusted for multiple comparisons.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Stratum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Crash deaths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Same-day RR (95% CI)</w:t>
            </w:r>
          </w:p>
        </w:tc>
      </w:tr>
      <w:tr>
        <w:tc>
          <w:tcPr>
            <w:tcW w:type="dxa" w:w="2880"/>
          </w:tcPr>
          <w:p>
            <w:r>
              <w:t>Accident type: Single-vehicle</w:t>
            </w:r>
          </w:p>
        </w:tc>
        <w:tc>
          <w:tcPr>
            <w:tcW w:type="dxa" w:w="2880"/>
          </w:tcPr>
          <w:p>
            <w:r>
              <w:t>3,227</w:t>
            </w:r>
          </w:p>
        </w:tc>
        <w:tc>
          <w:tcPr>
            <w:tcW w:type="dxa" w:w="2880"/>
          </w:tcPr>
          <w:p>
            <w:r>
              <w:t>1.133 (0.722-1.778)</w:t>
            </w:r>
          </w:p>
        </w:tc>
      </w:tr>
      <w:tr>
        <w:tc>
          <w:tcPr>
            <w:tcW w:type="dxa" w:w="2880"/>
          </w:tcPr>
          <w:p>
            <w:r>
              <w:t>Accident type: Vehicle-vehicle</w:t>
            </w:r>
          </w:p>
        </w:tc>
        <w:tc>
          <w:tcPr>
            <w:tcW w:type="dxa" w:w="2880"/>
          </w:tcPr>
          <w:p>
            <w:r>
              <w:t>4,280</w:t>
            </w:r>
          </w:p>
        </w:tc>
        <w:tc>
          <w:tcPr>
            <w:tcW w:type="dxa" w:w="2880"/>
          </w:tcPr>
          <w:p>
            <w:r>
              <w:t>1.079 (0.731-1.594)</w:t>
            </w:r>
          </w:p>
        </w:tc>
      </w:tr>
      <w:tr>
        <w:tc>
          <w:tcPr>
            <w:tcW w:type="dxa" w:w="2880"/>
          </w:tcPr>
          <w:p>
            <w:r>
              <w:t>Accident type: Vehicle-pedestrian</w:t>
            </w:r>
          </w:p>
        </w:tc>
        <w:tc>
          <w:tcPr>
            <w:tcW w:type="dxa" w:w="2880"/>
          </w:tcPr>
          <w:p>
            <w:r>
              <w:t>3,968</w:t>
            </w:r>
          </w:p>
        </w:tc>
        <w:tc>
          <w:tcPr>
            <w:tcW w:type="dxa" w:w="2880"/>
          </w:tcPr>
          <w:p>
            <w:r>
              <w:t>0.740 (0.500-1.097)</w:t>
            </w:r>
          </w:p>
        </w:tc>
      </w:tr>
      <w:tr>
        <w:tc>
          <w:tcPr>
            <w:tcW w:type="dxa" w:w="2880"/>
          </w:tcPr>
          <w:p>
            <w:r>
              <w:t>Prefecture density: High-density prefectures (transit-rich proxy)</w:t>
            </w:r>
          </w:p>
        </w:tc>
        <w:tc>
          <w:tcPr>
            <w:tcW w:type="dxa" w:w="2880"/>
          </w:tcPr>
          <w:p>
            <w:r>
              <w:t>7,583</w:t>
            </w:r>
          </w:p>
        </w:tc>
        <w:tc>
          <w:tcPr>
            <w:tcW w:type="dxa" w:w="2880"/>
          </w:tcPr>
          <w:p>
            <w:r>
              <w:t>0.938 (0.696-1.264)</w:t>
            </w:r>
          </w:p>
        </w:tc>
      </w:tr>
      <w:tr>
        <w:tc>
          <w:tcPr>
            <w:tcW w:type="dxa" w:w="2880"/>
          </w:tcPr>
          <w:p>
            <w:r>
              <w:t>Prefecture density: Low-density prefectures (transit-poor proxy)</w:t>
            </w:r>
          </w:p>
        </w:tc>
        <w:tc>
          <w:tcPr>
            <w:tcW w:type="dxa" w:w="2880"/>
          </w:tcPr>
          <w:p>
            <w:r>
              <w:t>4,081</w:t>
            </w:r>
          </w:p>
        </w:tc>
        <w:tc>
          <w:tcPr>
            <w:tcW w:type="dxa" w:w="2880"/>
          </w:tcPr>
          <w:p>
            <w:r>
              <w:t>0.958 (0.664-1.383)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