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Tatsuki Onishi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Data Science AI Innovation Research Promotion Center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Shiga University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1-1-1, Bamba, Hikone, Shiga, 522-8522 Japan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Telephone: +81-749-27-1023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E-mail: bougtoir@gmail.com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ORCID: 0000-0001-7261-9062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19 May 2026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The Editors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/>
          <w:sz w:val="24"/>
        </w:rPr>
        <w:t>Economica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Dear Professors Besley, den Haan, Ghatak, Ngai, Overman, and Thomas,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 xml:space="preserve">I am pleased to submit for your consideration the enclosed manuscript, </w:t>
      </w:r>
      <w:r>
        <w:rPr>
          <w:rFonts w:ascii="Times New Roman" w:hAnsi="Times New Roman" w:eastAsia="MS Mincho"/>
          <w:b/>
          <w:i w:val="0"/>
          <w:sz w:val="24"/>
        </w:rPr>
        <w:t>"What the Solow Residual Has Been Hiding: Tempo Drift and the Missing Intangible Share in National Capital Stocks"</w:t>
      </w:r>
      <w:r>
        <w:rPr>
          <w:rFonts w:ascii="Times New Roman" w:hAnsi="Times New Roman" w:eastAsia="MS Mincho"/>
          <w:b w:val="0"/>
          <w:i w:val="0"/>
          <w:sz w:val="24"/>
        </w:rPr>
        <w:t xml:space="preserve">, as an Article for </w:t>
      </w:r>
      <w:r>
        <w:rPr>
          <w:rFonts w:ascii="Times New Roman" w:hAnsi="Times New Roman" w:eastAsia="MS Mincho"/>
          <w:b w:val="0"/>
          <w:i/>
          <w:sz w:val="24"/>
        </w:rPr>
        <w:t>Economica</w:t>
      </w:r>
      <w:r>
        <w:rPr>
          <w:rFonts w:ascii="Times New Roman" w:hAnsi="Times New Roman" w:eastAsia="MS Mincho"/>
          <w:b w:val="0"/>
          <w:i w:val="0"/>
          <w:sz w:val="24"/>
        </w:rPr>
        <w:t>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 xml:space="preserve">The paper addresses a fundamental question in growth accounting: how much of what we call TFP is a genuine productivity residual, and how much is a book-keeping artefact of mis-timed capital stocks and omitted intangibles? I show that two parameters — a time-varying investment-to-output lag </w:t>
      </w:r>
      <w:r>
        <w:rPr>
          <w:rFonts w:ascii="Times New Roman" w:hAnsi="Times New Roman" w:eastAsia="MS Mincho"/>
          <w:b w:val="0"/>
          <w:i/>
          <w:sz w:val="24"/>
        </w:rPr>
        <w:t>μ</w:t>
      </w:r>
      <w:r>
        <w:rPr>
          <w:rFonts w:ascii="Times New Roman" w:hAnsi="Times New Roman" w:eastAsia="MS Mincho"/>
          <w:b w:val="0"/>
          <w:i w:val="0"/>
          <w:sz w:val="24"/>
        </w:rPr>
        <w:t xml:space="preserve">(t) and an intangible-capital share </w:t>
      </w:r>
      <w:r>
        <w:rPr>
          <w:rFonts w:ascii="Times New Roman" w:hAnsi="Times New Roman" w:eastAsia="MS Mincho"/>
          <w:b w:val="0"/>
          <w:i/>
          <w:sz w:val="24"/>
        </w:rPr>
        <w:t>β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— jointly account for a measurable share of measured TFP variation across 39 OECD and middle-income economies (Penn World Table 10.01, World Bank CWON, 1995–2019). Letting </w:t>
      </w:r>
      <w:r>
        <w:rPr>
          <w:rFonts w:ascii="Times New Roman" w:hAnsi="Times New Roman" w:eastAsia="MS Mincho"/>
          <w:b w:val="0"/>
          <w:i/>
          <w:sz w:val="24"/>
        </w:rPr>
        <w:t>μ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drift reduces out-of-sample GDP forecast error by 13 %, and a Solow-residual decomposition reveals that up to 30 % of TFP-growth variance can be re-attributed to tempo drift and missing intangibles rather than genuine innovation. When both corrections are applied, production-side (flow) and wealth-side (stock) national accounts agree to within 1–2 % for most countries — the first empirical success, to my knowledge, of the "unified national-wealth accounting" programme that Stiglitz, Sen, and Fitoussi (2009) called for.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 xml:space="preserve">I believe this work is well suited to </w:t>
      </w:r>
      <w:r>
        <w:rPr>
          <w:rFonts w:ascii="Times New Roman" w:hAnsi="Times New Roman" w:eastAsia="MS Mincho"/>
          <w:b w:val="0"/>
          <w:i/>
          <w:sz w:val="24"/>
        </w:rPr>
        <w:t>Economica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for three reasons. First, it speaks directly to the economic substance of the Solow residual — a topic of central interest in macroeconomics and growth theory since Griliches (1996). The paper is framed not as a measurement exercise but as a discovery about what TFP has been measuring. Second, the identification exploits a structural analogy with the demographic tempo literature (Bongaarts and Feeney, 1998; Goldstein, Lutz, and Scherbov, 2003) that is novel in economics and generates falsifiable predictions. Third, the counterfactual wealth calculations have concrete policy implications for the Beyond-GDP debate, showing that official statistics systematically understate the productive capital base of innovation-intensive economies.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The manuscript is approximately 10,000 words of body text, with eleven figures and five tables.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I confirm the following:</w:t>
      </w:r>
    </w:p>
    <w:p>
      <w:pPr>
        <w:spacing w:after="0" w:before="0" w:line="360" w:lineRule="auto"/>
      </w:pP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This work is original and has not been published elsewhere.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The manuscript is not under consideration by any other journal.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All data sources (Penn World Table 10.01; World Bank CWON; World Bank WDI) are publicly available; analysis code and intermediate outputs are archived in the public companion repository.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I am the sole author.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I have no competing interests, financial or otherwise, related to this work.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I used generative AI to assist with formatting the text, choosing words, and writing analysis code; this is documented in the manuscript.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I would be grateful for your consideration.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Yours sincerely,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Tatsuki Onishi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Data Science AI Innovation Research Promotion Center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Shiga University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bougtoir@gmail.com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