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Background: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or a route supported by the present analysis. The ABO sub-lineage compositions shown are computed in this study from data/abo_sublineage_summary.csv (segments, not individuals; ties excluded from the percentages) and the South Asian Denisovan-segment count from data/abo_denisovan_segments.csv; broad archaic-ancestry ranges are attributed on the figure to Prüfer et al. (2014), Vernot and Akey (2014), Reich et al. (2011), and Meyer et al. (2012).</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Bivariate global context computed in this study. Circle area encodes the mean per-bin Neanderthal-segment coverage and colour encodes the mean per-bin Denisovan-segment coverage for each population, both from data/population_profiles_500kb.npz; coordinates are approximate sampling locations from data/population_metadata.csv. These descriptive summaries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