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 in Japan, 2008–2024: a sensitivity-analysis framework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3472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