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Descriptive Statistics: Twin Cesarean Section Cohort</w:t>
      </w:r>
    </w:p>
    <w:p>
      <w:r>
        <w:rPr>
          <w:b w:val="0"/>
        </w:rPr>
        <w:t>Analysis date: 2026-05-29</w:t>
        <w:br/>
      </w:r>
      <w:r>
        <w:t>Study period: 2014-04-01 to 2024-10-23</w:t>
        <w:br/>
      </w:r>
      <w:r>
        <w:t>Cohort: twin pregnancies undergoing cesarean section under spinal anesthesia</w:t>
        <w:br/>
      </w:r>
      <w:r>
        <w:t>N (raw): 366 → N (analysis): 342 (after exclusions and pre-anesthesia antiemetic removal)</w:t>
      </w:r>
    </w:p>
    <w:p>
      <w:pPr>
        <w:pStyle w:val="Heading2"/>
      </w:pPr>
      <w:r>
        <w:rPr>
          <w:color w:val="000000"/>
        </w:rPr>
        <w:t>Patient Flow</w:t>
      </w:r>
    </w:p>
    <w:p>
      <w:r>
        <w:t xml:space="preserve">A total of 366 twin cesarean sections were identified. </w:t>
      </w:r>
      <w:r>
        <w:t xml:space="preserve">General anesthesia (2), </w:t>
      </w:r>
      <w:r>
        <w:t xml:space="preserve">Pre-anesthesia SBP &lt; 90 mmHg (1), </w:t>
      </w:r>
      <w:r>
        <w:t xml:space="preserve">Intrauterine fetal death (9), </w:t>
      </w:r>
      <w:r>
        <w:t xml:space="preserve">Vanishing twin (3), </w:t>
      </w:r>
      <w:r>
        <w:t xml:space="preserve">No anesthesia data available (1), </w:t>
      </w:r>
      <w:r>
        <w:t xml:space="preserve">were excluded (20 total). </w:t>
      </w:r>
      <w:r>
        <w:t xml:space="preserve">An additional 4 patients who received antiemetics before anesthesia induction were excluded per protocol. </w:t>
      </w:r>
      <w:r>
        <w:t>The final analysis cohort comprised 342 twin cesarean sections.</w:t>
      </w:r>
    </w:p>
    <w:p>
      <w:pPr>
        <w:pStyle w:val="Heading2"/>
      </w:pPr>
      <w:r>
        <w:rPr>
          <w:color w:val="000000"/>
        </w:rPr>
        <w:t>Table 1. Patient Characteristics — Continuous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Mean ± SD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Median [IQR]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Age (years)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32.0 ± 4.8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32.0 [29.0–35.0]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BMI (kg/m²)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25.7 ± 4.0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25.3 [22.8–28.0]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43.9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Gestational age (weeks)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36.2 ± 2.2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37.0 [36.1–37.3]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Surgery time (min)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45.6 ± 11.0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44.0 [38.0–51.0]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102.0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Anesthesia time (min)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60.1 ± 12.7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58.0 [51.0–67.8]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119.0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Estimated blood loss (mL)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1380.2 ± 727.6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1195.0 [922.5–1670.0]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5450.0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Infusion volume (mL)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1080.1 ± 405.3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1050.0 [800.0–1300.0]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2700.0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Hypotensive episodes (count)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 ± 2.4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 [0.0–2.0]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Intrathecal bupivacaine (mg)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10.7 ± 1.3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10.0 [10.0–11.0]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Intrathecal fentanyl (μg)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18.5 ± 6.7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20.0 [15.0–20.0]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Intrathecal morphine (mg)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 ± 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 [0.0–0.1]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Ephedrine (mg)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2.1 ± 5.0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 [0.0–0.0]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Phenylephrine (mg)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 ± 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 [0.0–0.3]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1.9</w:t>
            </w:r>
          </w:p>
        </w:tc>
      </w:tr>
    </w:tbl>
    <w:p>
      <w:pPr>
        <w:pStyle w:val="Heading2"/>
      </w:pPr>
      <w:r>
        <w:rPr>
          <w:color w:val="000000"/>
        </w:rPr>
        <w:t>Table 2. Patient Characteristics — Categorical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n/N (%)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Missing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Emergency 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121/342 (35.4%)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30.5–40.6%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 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40/342 (11.7%)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8.7–15.5%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Hypertensive disorders of pregnancy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33/342 (9.6%)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7.0–13.2%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Preoperative steroid (≤1 week)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25/342 (7.3%)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5.0–10.6%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Epidural anesthesia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105/342 (30.7%)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26.1–35.8%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Continuous vasopressor infusion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33/342 (9.6%)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7.0–13.2%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Hypotension (SBP &lt; 90 mmHg)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151/342 (44.2%)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39.0–49.5%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Uterine exteriorization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73/74 (98.6%)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92.7–99.8%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BMI ≥ 35 kg/m²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5/341 (1.5%)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0.6–3.4%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Preoperative antiemetic (≤24 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1/341 (0.3%)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0.1–1.6%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color w:val="000000"/>
        </w:rPr>
        <w:t>Figure 1. Distribution of Key Variables</w:t>
      </w:r>
    </w:p>
    <w:p>
      <w:r>
        <w:drawing>
          <wp:inline xmlns:a="http://schemas.openxmlformats.org/drawingml/2006/main" xmlns:pic="http://schemas.openxmlformats.org/drawingml/2006/picture">
            <wp:extent cx="5486400" cy="3509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9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18"/>
        </w:rPr>
        <w:t xml:space="preserve">Figure 1. </w:t>
      </w:r>
      <w:r>
        <w:t>Distribution of age, BMI, gestational age, blood loss, surgery time, and anesthesia time in the twin CS cohort (n=342). Red dashed lines indicate median values.</w:t>
      </w:r>
    </w:p>
    <w:p>
      <w:pPr>
        <w:pStyle w:val="Heading2"/>
      </w:pPr>
      <w:r>
        <w:rPr>
          <w:color w:val="000000"/>
        </w:rPr>
        <w:t>Table 3. IONV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Events/N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Rate (%)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Primary: any IONV (anesthesia→exit)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58/342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13.4–21.3%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Secondary: IONV before delivery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5/342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0.6–3.4%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Post-delivery IONV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54/342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12.3–20.0%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5-HT3 antagonist use (Definition 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8/342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1.2–4.5%</w:t>
            </w:r>
          </w:p>
        </w:tc>
      </w:tr>
    </w:tbl>
    <w:p>
      <w:pPr>
        <w:pStyle w:val="Heading2"/>
      </w:pPr>
      <w:r>
        <w:rPr>
          <w:color w:val="000000"/>
        </w:rPr>
        <w:t>Figure 2. IONV Outcome Rates</w:t>
      </w:r>
    </w:p>
    <w:p>
      <w:r>
        <w:drawing>
          <wp:inline xmlns:a="http://schemas.openxmlformats.org/drawingml/2006/main" xmlns:pic="http://schemas.openxmlformats.org/drawingml/2006/picture">
            <wp:extent cx="4572000" cy="2825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onv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18"/>
        </w:rPr>
        <w:t xml:space="preserve">Figure 2. </w:t>
      </w:r>
      <w:r>
        <w:t>IONV outcome rates with 95% Wilson confidence intervals in twin CS (n=342).</w:t>
      </w:r>
    </w:p>
    <w:p>
      <w:pPr>
        <w:pStyle w:val="Heading2"/>
      </w:pPr>
      <w:r>
        <w:rPr>
          <w:color w:val="000000"/>
        </w:rPr>
        <w:t>Table 4. Antiemetic Drug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Drug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 (%)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Median dose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Dose IQR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Metoclopramide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 (11.1%)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10.0–10.0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Droperidol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(4.1%)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0.8–1.2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(2.0%)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4.0–4.0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Granisetron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(0.3%)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3.0–3.0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Prochlorperazine (Novamin)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(1.2%)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5.0–5.0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Hydroxyzine (Atarax-P)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(0.9%)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25.0–25.0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Dexamethasone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(0.0%)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–</w:t>
            </w:r>
          </w:p>
        </w:tc>
      </w:tr>
    </w:tbl>
    <w:p>
      <w:pPr>
        <w:pStyle w:val="Heading2"/>
      </w:pPr>
      <w:r>
        <w:rPr>
          <w:color w:val="000000"/>
        </w:rPr>
        <w:t>Figure 3. Antiemetic Drug Usage</w:t>
      </w:r>
    </w:p>
    <w:p>
      <w:r>
        <w:drawing>
          <wp:inline xmlns:a="http://schemas.openxmlformats.org/drawingml/2006/main" xmlns:pic="http://schemas.openxmlformats.org/drawingml/2006/picture">
            <wp:extent cx="5029200" cy="2751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rug_us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18"/>
        </w:rPr>
        <w:t xml:space="preserve">Figure 3. </w:t>
      </w:r>
      <w:r>
        <w:t>Frequency of individual antiemetic drug usage in twin CS (n=342).</w:t>
      </w:r>
    </w:p>
    <w:p>
      <w:pPr>
        <w:pStyle w:val="Heading2"/>
      </w:pPr>
      <w:r>
        <w:rPr>
          <w:color w:val="000000"/>
        </w:rPr>
        <w:t>Table 5. Emergency vs Elective Subgroup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Subgroup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Age median [IQR]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BMI median [IQR]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GA (weeks) median [IQR]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Blood loss (mL) median [IQR]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Surgery time (min) median [IQR]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Anesthesia time (min) median [IQR]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IONV primary n (%)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IONV secondary n (%)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Emergency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32.0 [28.0–36.0]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25.0 [22.1–27.9]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35.4 [34.1–36.6]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1150.0 [880.0–1860.0]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43.0 [38.0–51.0]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57.0 [50.0–67.0]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 (22.3%)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 (0.8%)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Elective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32.0 [29.0–35.0]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25.5 [23.1–28.2]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37.3 [37.0–37.4]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1220.0 [940.0–1625.0]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44.0 [39.0–51.0]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59.0 [51.0–68.0]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31 (14.0%)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 (1.8%)</w:t>
            </w:r>
          </w:p>
        </w:tc>
      </w:tr>
    </w:tbl>
    <w:p>
      <w:pPr>
        <w:pStyle w:val="Heading2"/>
      </w:pPr>
      <w:r>
        <w:rPr>
          <w:color w:val="000000"/>
        </w:rPr>
        <w:t>Figure 4. Blood Loss by Emergency Status</w:t>
      </w:r>
    </w:p>
    <w:p>
      <w:r>
        <w:drawing>
          <wp:inline xmlns:a="http://schemas.openxmlformats.org/drawingml/2006/main" xmlns:pic="http://schemas.openxmlformats.org/drawingml/2006/picture">
            <wp:extent cx="4572000" cy="2825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blood_loss_by_emerg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18"/>
        </w:rPr>
        <w:t xml:space="preserve">Figure 4. </w:t>
      </w:r>
      <w:r>
        <w:t>Estimated blood loss distribution in emergency vs elective twin CS (n=342). Individual data points shown with jitter.</w:t>
      </w:r>
    </w:p>
    <w:p>
      <w:pPr>
        <w:pStyle w:val="Heading2"/>
      </w:pPr>
      <w:r>
        <w:rPr>
          <w:color w:val="000000"/>
        </w:rPr>
        <w:t>Figure 5. Temporal Trends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emporal_tre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18"/>
        </w:rPr>
        <w:t xml:space="preserve">Figure 5. </w:t>
      </w:r>
      <w:r>
        <w:t>Annual case volume and IONV rates in twin CS (n=342).</w:t>
      </w:r>
    </w:p>
    <w:p>
      <w:pPr>
        <w:pStyle w:val="Heading2"/>
      </w:pPr>
      <w:r>
        <w:rPr>
          <w:color w:val="000000"/>
        </w:rPr>
        <w:t>Table 6. Yearly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IONV primary n (%)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EBL median (mL)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5-HT3 n (%)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(22.9%)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(15.4%)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(9.5%)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(27.3%)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(12.2%)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(12.9%)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(20.7%)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(16.2%)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(19.0%)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(11.1%)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(3.7%)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(25.8%)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 (22.6%)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