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August 06, 2026</w:t>
      </w:r>
    </w:p>
    <w:p/>
    <w:p>
      <w:r>
        <w:rPr>
          <w:b w:val="0"/>
          <w:i w:val="0"/>
        </w:rPr>
        <w:t>Professor Kouji H. Harada, PhD, MPH</w:t>
      </w:r>
    </w:p>
    <w:p>
      <w:r>
        <w:rPr>
          <w:b w:val="0"/>
          <w:i w:val="0"/>
        </w:rPr>
        <w:t>Editor-in-Chief</w:t>
      </w:r>
    </w:p>
    <w:p>
      <w:r>
        <w:rPr>
          <w:b w:val="0"/>
          <w:i w:val="0"/>
        </w:rPr>
        <w:t>Environmental Health and Preventive Medicine</w:t>
      </w:r>
    </w:p>
    <w:p/>
    <w:p>
      <w:r>
        <w:rPr>
          <w:b w:val="0"/>
          <w:i w:val="0"/>
        </w:rPr>
        <w:t>Re: New submission of manuscript previously reviewed as EHPM-D-26-00106R2 (de novo rejection, resubmission per editors' recommendation)</w:t>
      </w:r>
    </w:p>
    <w:p/>
    <w:p>
      <w:r>
        <w:rPr>
          <w:b w:val="0"/>
          <w:i w:val="0"/>
        </w:rPr>
        <w:t>Dear Professor Harada,</w:t>
      </w:r>
    </w:p>
    <w:p/>
    <w:p>
      <w:r>
        <w:rPr>
          <w:b w:val="0"/>
          <w:i w:val="0"/>
        </w:rPr>
        <w:t>We are resubmitting a substantially reframed version of our manuscript, now entitled "Evaluating the Demand-Side Fiscal Return to Healthcare Expenditure in Japan: Input-Output Multipliers, a Constant Health-Capital Lag, and Diagnostic Equipment Stock with Cross-Country OECD Benchmarking". The previous submission was de novo rejected because the revisions had grown beyond the original framework. We have therefore rebuilt the manuscript around the claims that the analysis actually supports: a material but conditional demand-side fiscal return and a robust constant spending-to-outcome lag. The unsupported 'dual-return' / supply-side return framing has been removed, and deficit financing, over-supply risk, workforce constraints, and OECD cross-country heterogeneity are now treated explicitly as boundary conditions on the sustainability of the demand-side return. No new analyses were performed; the numbers, figures, and tables are unchanged from the R2 package.</w:t>
      </w:r>
    </w:p>
    <w:p/>
    <w:p>
      <w:r>
        <w:rPr>
          <w:b w:val="0"/>
          <w:i w:val="0"/>
        </w:rPr>
        <w:t>Major changes in this resubmission include:</w:t>
      </w:r>
    </w:p>
    <w:p>
      <w:r>
        <w:t xml:space="preserve">• </w:t>
      </w:r>
      <w:r>
        <w:t>Title and scope: the 'dual-return framework' language is removed; the title, abstract, aims, discussion, and conclusions now describe a demand-side fiscal return and a constant health-capital lag.</w:t>
      </w:r>
    </w:p>
    <w:p>
      <w:r>
        <w:t xml:space="preserve">• </w:t>
      </w:r>
      <w:r>
        <w:t>Balanced treatment of deficit financing: the 0.67 deficit-adjusted ratio is presented as a central sensitivity in the abstract, discussion, and conclusions, not merely as a limitation.</w:t>
      </w:r>
    </w:p>
    <w:p>
      <w:r>
        <w:t xml:space="preserve">• </w:t>
      </w:r>
      <w:r>
        <w:t>Tempered policy claims: the conclusion now states that the demand-side return is material but not sufficient for full self-financing under conservative treatments, and that its incorporation into fiscal evaluation should be conditional on sustainability boundaries.</w:t>
      </w:r>
    </w:p>
    <w:p>
      <w:r>
        <w:t xml:space="preserve">• </w:t>
      </w:r>
      <w:r>
        <w:t>OECD cross-country value: the conclusion highlights that the gross output-multiplier return exceeds break-even in five OECD countries, while value-added and deficit-adjusted returns fall below it in all 13, underscoring the sensitivity of the return to accounting assumptions and financing structure.</w:t>
      </w:r>
    </w:p>
    <w:p>
      <w:r>
        <w:t xml:space="preserve">• </w:t>
      </w:r>
      <w:r>
        <w:t>Figure 1: the schematic title and legend have been revised to remove 'dual-return' and to describe the lag as a timing relationship rather than a quantified supply-side return.</w:t>
      </w:r>
    </w:p>
    <w:p/>
    <w:p>
      <w:r>
        <w:rPr>
          <w:b w:val="0"/>
          <w:i w:val="0"/>
        </w:rPr>
        <w:t>We include the previous submission number (EHPM-D-26-00106R2) to assist the editorial office in linking this resubmission to the prior review history.</w:t>
      </w:r>
    </w:p>
    <w:p/>
    <w:p>
      <w:r>
        <w:rPr>
          <w:b w:val="0"/>
          <w:i w:val="0"/>
        </w:rPr>
        <w:t>We confirm that no part of this research was funded or supported by firms or organizations related to the tobacco industry.</w:t>
      </w:r>
    </w:p>
    <w:p/>
    <w:p>
      <w:r>
        <w:rPr>
          <w:b w:val="0"/>
          <w:i w:val="0"/>
        </w:rPr>
        <w:t>Thank you for your consideration.</w:t>
      </w:r>
    </w:p>
    <w:p/>
    <w:p>
      <w:r>
        <w:rPr>
          <w:b w:val="0"/>
          <w:i w:val="0"/>
        </w:rPr>
        <w:t>Sincerely,</w:t>
      </w:r>
    </w:p>
    <w:p/>
    <w:p>
      <w:r>
        <w:rPr>
          <w:b w:val="0"/>
          <w:i w:val="0"/>
        </w:rPr>
        <w:t>Tatsuki Onishi</w:t>
      </w:r>
    </w:p>
    <w:p>
      <w:r>
        <w:rPr>
          <w:b w:val="0"/>
          <w:i w:val="0"/>
        </w:rPr>
        <w:t>[Affiliation]</w:t>
      </w:r>
    </w:p>
    <w:p>
      <w:r>
        <w:rPr>
          <w:b w:val="0"/>
          <w:i w:val="0"/>
        </w:rPr>
        <w:t>[E-mail]</w:t>
      </w:r>
    </w:p>
    <w:p/>
    <w:p>
      <w:r>
        <w:rPr>
          <w:b/>
          <w:color w:val="FF0000"/>
        </w:rPr>
        <w:t>REMINDER: Enter discount code EHPM-JSH-R26K during APC Agreement stage on Editorial Manager submission.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