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the Demand-Side Fiscal Return to Healthcare Expenditure in Japan: Input-Output Multipliers, a Constant Health-Capital Lag, and Diagnostic Equipment Stock with Cross-Country OECD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Demand-Side Return and Lag</w:t>
      </w:r>
    </w:p>
    <w:p/>
    <w:p>
      <w:r>
        <w:rPr>
          <w:b/>
        </w:rPr>
        <w:t xml:space="preserve">Total word count: </w:t>
      </w:r>
      <w:r>
        <w:t>approximately 7,400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This study evaluates its demand-side fiscal return using input-output (I-O) multipliers, tests for a constant spending-to-outcome lag in health-capital accumulation, and benchmarks Japan against 12 other OECD countries.</w:t>
      </w:r>
    </w:p>
    <w:p>
      <w:r>
        <w:rPr>
          <w:b/>
        </w:rPr>
        <w:t xml:space="preserve">Methods: </w:t>
      </w:r>
      <w:r>
        <w:t>We compiled healthcare sector I-O output multipliers for 13 OECD countries and computed a fiscal return ratio (effective tax rate times output multiplier divided by public financing share), with sensitivity analyses for import leakage, approximate value-added multipliers, and 35% deficit financing. A self-contained tempo model (39 countries, 2000-2019) tested for a constant spending-to-outcome lag using RMSE, AIC, BIC, and LOOCV.</w:t>
      </w:r>
    </w:p>
    <w:p>
      <w:r>
        <w:rPr>
          <w:b/>
        </w:rPr>
        <w:t xml:space="preserve">Results: </w:t>
      </w:r>
      <w:r>
        <w:t>Using output multipliers, the demand-side fiscal return ratio exceeded 1.0 in five of thirteen countries (France 1.18, Italy 1.13, Japan 1.09, Sweden 1.04, Finland 1.04). With value-added multipliers, no country exceeded 1.0. For Japan the ratio fell from 1.09 (gross) to 1.04 after import-leakage adjustment, 0.67 after discounting for 35% deficit financing, and 0.60 under value-added multipliers, bracketing break-even. The equipment-density counterfactual lowered the gross ratio to 0.98 (sensitivity range 0.94-1.02 for equipment share 5-25%). The tempo model confirmed a constant spending-to-outcome lag of approximately 2 years; the time-varying extension was not supported by AIC or BIC.</w:t>
      </w:r>
    </w:p>
    <w:p>
      <w:r>
        <w:rPr>
          <w:b/>
        </w:rPr>
        <w:t xml:space="preserve">Conclusions: </w:t>
      </w:r>
      <w:r>
        <w:t>Japan's healthcare expenditure generates a material, conditional demand-side fiscal return that brackets break-even. The return is not sufficient for full tax-based self-financing under conservative treatments. Cross-country comparison shows Japan is not an outlier: gross output-multiplier returns exceed break-even in five OECD countries, while value-added and deficit-adjusted returns fall below it. Healthcare spending should be evaluated with both cost and economic-return lenses, treating financing structure and cross-country heterogeneity as boundary conditions.</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demand-side fiscal return to Japan's healthcare expenditure using I-O multipliers and a health-capital tempo model,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tests for a constant spending-to-outcome lag in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evaluated the demand-side fiscal return to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once deficit financing is taken into account, Japan's demand-side return falls below break-even, and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2.0 years. However, the time-varying extension (M2 vs M1) yielded no improvement once the additional parameter was penalized (M2 was favoured over M1 in 0% of countries by AIC and 0% by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model's time-varying component (M2) does not robustly survive parsimony-aware model selection. Finally, this study focused on the demand-side fiscal return; a comprehensive sustainability assessment would also need to quantify the economic returns to supply-side health-capital effects, which requires individual-level data.</w:t>
      </w:r>
    </w:p>
    <w:p>
      <w:pPr>
        <w:pStyle w:val="Heading1"/>
      </w:pPr>
      <w:r>
        <w:t>Conclusions</w:t>
      </w:r>
    </w:p>
    <w:p>
      <w:r>
        <w:t>Japan's healthcare expenditure generates a material, conditional demand-side fiscal return.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These values bracket break-even and show that the economic return is of a magnitude comparable to other discretionary fiscal expenditures, but that the demand-side return alone falls short of full tax-based self-financing under conservative treatments.</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demand-side economic return should be formally incorporated into fiscal evaluation rather than disregarded. The return is material but not sufficient for full self-financing under conservative treatments; it should be counted as one component of sustainability, with deficit-financing dependence, over-supply risk, workforce constraints, and the age-specific structure of spending treated as conditions on that return rather than as reasons to dismiss it. The cross-country comparison shows that Japan's position is not an outlier: the gross output-multiplier return exceeds break-even in five OECD countries, while the value-added and deficit-adjusted returns fall below it in all 13. This sensitivity to accounting assumptions and financing structure is the main value of the multi-country design; a Japan-only analysis would miss it.</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Demand-side fiscal return and health-capital lag framework.</w:t>
      </w:r>
    </w:p>
    <w:p/>
    <w:p>
      <w:r>
        <w:t>Conceptual diagram of the analytical framework. Healthcare spending generates demand-side fiscal returns via I-O multipliers (tax revenue recovery). A constant spending-to-outcome lag links expenditure flows to health-capital stock; the supply-side effect is modeled as a timing lag rather than quantified as a fiscal return.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