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August 06, 2026</w:t>
      </w:r>
    </w:p>
    <w:p/>
    <w:p>
      <w:r>
        <w:rPr>
          <w:b w:val="0"/>
          <w:i w:val="0"/>
        </w:rPr>
        <w:t>Editor-in-Chief</w:t>
      </w:r>
    </w:p>
    <w:p>
      <w:r>
        <w:rPr>
          <w:b w:val="0"/>
          <w:i w:val="0"/>
        </w:rPr>
        <w:t>Environmental Health and Preventive Medicine</w:t>
      </w:r>
    </w:p>
    <w:p/>
    <w:p>
      <w:r>
        <w:rPr>
          <w:b w:val="0"/>
          <w:i w:val="0"/>
        </w:rPr>
        <w:t>Re: EHPM-D-26-00106R2 de novo rejection response</w:t>
      </w:r>
    </w:p>
    <w:p>
      <w:r>
        <w:rPr>
          <w:b w:val="0"/>
          <w:i w:val="0"/>
        </w:rPr>
        <w:t>"Evaluating the Demand-Side Fiscal Return to Healthcare Expenditure in Japan: Input-Output Multipliers, a Constant Health-Capital Lag, and Diagnostic Equipment Stock with Cross-Country OECD Benchmarking"</w:t>
      </w:r>
    </w:p>
    <w:p/>
    <w:p>
      <w:r>
        <w:rPr>
          <w:b w:val="0"/>
          <w:i w:val="0"/>
        </w:rPr>
        <w:t>Dear Professor Harada,</w:t>
      </w:r>
    </w:p>
    <w:p/>
    <w:p>
      <w:r>
        <w:rPr>
          <w:b w:val="0"/>
          <w:i w:val="0"/>
        </w:rPr>
        <w:t>We thank the editors and reviewers for the careful de novo rejection letter. The comments identified that the revised manuscript had grown beyond the claims the analysis supported. We have therefore rebuilt the manuscript around its actual findings. Point-by-point responses to the two sets of reviewer comments are below.</w:t>
      </w:r>
    </w:p>
    <w:p/>
    <w:p>
      <w:r>
        <w:rPr>
          <w:b/>
        </w:rPr>
        <w:t>Reviewer 1</w:t>
      </w:r>
    </w:p>
    <w:p>
      <w:r>
        <w:rPr>
          <w:b/>
        </w:rPr>
        <w:t xml:space="preserve">Comment: </w:t>
      </w:r>
      <w:r>
        <w:rPr>
          <w:i/>
        </w:rPr>
        <w:t>With the positive drift withdrawn, the 'Health-Capital Tempo' pillar delivers only the existence of a constant ~2-year lag. The 'dual-return' framework in the title promises a supply-side return that the paper no longer provides, leaving the framing substantially unsupported. The surviving contribution is narrower than the framework the manuscript is still built around. The work would be best rebuilt around the claims that actually hold, with a title and scope matched to them.</w:t>
      </w:r>
    </w:p>
    <w:p>
      <w:r>
        <w:rPr>
          <w:b/>
        </w:rPr>
        <w:t xml:space="preserve">Response: </w:t>
      </w:r>
      <w:r>
        <w:t>We agree entirely. The title has been changed to 'Evaluating the Demand-Side Fiscal Return to Healthcare Expenditure in Japan: Input-Output Multipliers, a Constant Health-Capital Lag, and Diagnostic Equipment Stock with Cross-Country OECD Benchmarking'. The abstract, aims, discussion, and conclusions no longer describe a 'dual-return' framework or a supply-side return. The tempo model is now described as testing for a constant spending-to-outcome lag, with the time-varying drift explicitly withdrawn. The manuscript is now built around (a) a material but conditional demand-side fiscal return and (b) a robust constant lag in health-capital accumulation.</w:t>
      </w:r>
    </w:p>
    <w:p/>
    <w:p>
      <w:r>
        <w:rPr>
          <w:b/>
        </w:rPr>
        <w:t>Reviewer 2</w:t>
      </w:r>
    </w:p>
    <w:p>
      <w:r>
        <w:rPr>
          <w:b/>
        </w:rPr>
        <w:t xml:space="preserve">Comments: </w:t>
      </w:r>
      <w:r>
        <w:rPr>
          <w:i/>
        </w:rPr>
        <w:t>(1) The 0.67 deficit-adjusted ratio should be discussed more prominently and with implications for increasing public debt. (2) Caution is needed when interpreting analyses that do not account for deficit financing. (3) The conclusion that 'ratios below 1.0 do not negate this value' restates a generally accepted principle rather than a specific insight. (4) The manuscript does not investigate what level of deficit financing is sustainable. (5) The conclusion does not capitalize on the cross-country OECD analysis.</w:t>
      </w:r>
    </w:p>
    <w:p>
      <w:r>
        <w:rPr>
          <w:b/>
        </w:rPr>
        <w:t xml:space="preserve">Response: </w:t>
      </w:r>
      <w:r>
        <w:t>We have rebalanced the manuscript so that deficit financing is treated as a central sensitivity rather than a footnote. The 0.67 deficit-adjusted ratio now appears in the abstract and is discussed as showing that the demand-side return is conditional on financing structure. The conclusion no longer claims that ratios below 1.0 'do not negate' value; instead it states that the demand-side return is material but not sufficient for full self-financing under conservative treatments, and that the analysis does not identify a sustainable debt level. Finally, the conclusion now explicitly uses the OECD comparison: the gross output-multiplier return exceeds break-even in five countries, while value-added and deficit-adjusted returns fall below it in all 13. This sensitivity to accounting assumptions and financing structure is the main added value of the multi-country design.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