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 w:val="0"/>
          <w:i w:val="0"/>
          <w:sz w:val="22"/>
        </w:rPr>
        <w:t>[日付]</w:t>
      </w:r>
    </w:p>
    <w:p>
      <w:r>
        <w:rPr>
          <w:rFonts w:ascii="Times New Roman" w:hAnsi="Times New Roman"/>
          <w:b w:val="0"/>
          <w:i w:val="0"/>
          <w:sz w:val="22"/>
        </w:rPr>
      </w:r>
    </w:p>
    <w:p>
      <w:r>
        <w:rPr>
          <w:rFonts w:ascii="Times New Roman" w:hAnsi="Times New Roman"/>
          <w:b w:val="0"/>
          <w:i w:val="0"/>
          <w:sz w:val="22"/>
        </w:rPr>
        <w:t>Editor-in-Chief</w:t>
      </w:r>
    </w:p>
    <w:p>
      <w:r>
        <w:rPr>
          <w:rFonts w:ascii="Times New Roman" w:hAnsi="Times New Roman"/>
          <w:b w:val="0"/>
          <w:i w:val="0"/>
          <w:sz w:val="22"/>
        </w:rPr>
        <w:t>Journal of Clinical Monitoring and Computing</w:t>
      </w:r>
    </w:p>
    <w:p>
      <w:r>
        <w:rPr>
          <w:rFonts w:ascii="Times New Roman" w:hAnsi="Times New Roman"/>
          <w:b w:val="0"/>
          <w:i w:val="0"/>
          <w:sz w:val="22"/>
        </w:rPr>
        <w:t>Springer Nature</w:t>
      </w:r>
    </w:p>
    <w:p>
      <w:r>
        <w:rPr>
          <w:rFonts w:ascii="Times New Roman" w:hAnsi="Times New Roman"/>
          <w:b w:val="0"/>
          <w:i w:val="0"/>
          <w:sz w:val="22"/>
        </w:rPr>
      </w:r>
    </w:p>
    <w:p>
      <w:r>
        <w:rPr>
          <w:rFonts w:ascii="Times New Roman" w:hAnsi="Times New Roman"/>
          <w:b w:val="0"/>
          <w:i w:val="0"/>
          <w:sz w:val="22"/>
        </w:rPr>
        <w:t>Dear Editor,</w:t>
      </w:r>
    </w:p>
    <w:p>
      <w:r>
        <w:rPr>
          <w:rFonts w:ascii="Times New Roman" w:hAnsi="Times New Roman"/>
          <w:b w:val="0"/>
          <w:i w:val="0"/>
          <w:sz w:val="22"/>
        </w:rPr>
      </w:r>
    </w:p>
    <w:p>
      <w:r>
        <w:rPr>
          <w:rFonts w:ascii="Times New Roman" w:hAnsi="Times New Roman"/>
          <w:b w:val="0"/>
          <w:i w:val="0"/>
          <w:sz w:val="22"/>
        </w:rPr>
        <w:t>論文「Beyond Bland-Altman: Concordance Correlation Coefficient Decomposition for Diagnostic Validation of Haemodynamic Monitors」をOriginal PaperとしてJournal of Clinical Monitoring and Computingへ投稿いたします。</w:t>
      </w:r>
    </w:p>
    <w:p>
      <w:r>
        <w:rPr>
          <w:rFonts w:ascii="Times New Roman" w:hAnsi="Times New Roman"/>
          <w:b w:val="0"/>
          <w:i w:val="0"/>
          <w:sz w:val="22"/>
        </w:rPr>
      </w:r>
    </w:p>
    <w:p>
      <w:r>
        <w:rPr>
          <w:rFonts w:ascii="Times New Roman" w:hAnsi="Times New Roman"/>
          <w:b w:val="0"/>
          <w:i w:val="0"/>
          <w:sz w:val="22"/>
        </w:rPr>
        <w:t>Bland-Altman解析、percentage error、polar plotは、数十年にわたり血行動態モニタの標準的バリデーションツールキットとして機能してきました。しかし、根本的な限界が見過ごされています。これらの手法では、残存する不一致がオフセット誤差（校正で補正可能）に起因するのか、ゲイン誤差（ハードウェアまたはアルゴリズムの修正を要する）に起因するのかを識別できません。機器改良のたびにBland-Altman解析を繰り返しても、この診断的ギャップは解消されません。</w:t>
      </w:r>
    </w:p>
    <w:p>
      <w:r>
        <w:rPr>
          <w:rFonts w:ascii="Times New Roman" w:hAnsi="Times New Roman"/>
          <w:b w:val="0"/>
          <w:i w:val="0"/>
          <w:sz w:val="22"/>
        </w:rPr>
      </w:r>
    </w:p>
    <w:p>
      <w:r>
        <w:rPr>
          <w:rFonts w:ascii="Times New Roman" w:hAnsi="Times New Roman"/>
          <w:b w:val="0"/>
          <w:i w:val="0"/>
          <w:sz w:val="22"/>
        </w:rPr>
        <w:t>本論文では、LinのConcordance Correlation Coefficient（CCC）分解をBland-Altman解析の診断的補完として提案します。CCCをprecision（Pearsonのr）とaccuracy（bias correction factor C_b）に分解し、さらにC_bをlocation shift（u：オフセット誤差）とscale shift（v：ゲイン誤差）に分解することで、現行バリデーション手法の限界を直接補う枠組みを提供します。臨床的に重要な4つの誤差シナリオに対するMonte Carloシミュレーションにより、以下を示しました。</w:t>
      </w:r>
    </w:p>
    <w:p>
      <w:r>
        <w:rPr>
          <w:rFonts w:ascii="Times New Roman" w:hAnsi="Times New Roman"/>
          <w:b w:val="0"/>
          <w:i w:val="0"/>
          <w:sz w:val="22"/>
        </w:rPr>
      </w:r>
    </w:p>
    <w:p>
      <w:r>
        <w:rPr>
          <w:rFonts w:ascii="Times New Roman" w:hAnsi="Times New Roman"/>
          <w:b w:val="0"/>
          <w:i w:val="0"/>
          <w:sz w:val="22"/>
        </w:rPr>
        <w:t>1. Bland-Altman解析では識別できない誤差構造をCCC分解が明らかにする（Scenario BとCはBA上類似するが、C_b = 1.000 vs. 0.870）</w:t>
      </w:r>
    </w:p>
    <w:p>
      <w:r>
        <w:rPr>
          <w:rFonts w:ascii="Times New Roman" w:hAnsi="Times New Roman"/>
          <w:b w:val="0"/>
          <w:i w:val="0"/>
          <w:sz w:val="22"/>
        </w:rPr>
        <w:t>2. ゼロ校正はlocation shift（u）のみを補正し、ゲイン誤差（v）には影響しない</w:t>
      </w:r>
    </w:p>
    <w:p>
      <w:r>
        <w:rPr>
          <w:rFonts w:ascii="Times New Roman" w:hAnsi="Times New Roman"/>
          <w:b w:val="0"/>
          <w:i w:val="0"/>
          <w:sz w:val="22"/>
        </w:rPr>
        <w:t>3. 脈圧の正確性がゲインの暗黙的検証となる</w:t>
      </w:r>
    </w:p>
    <w:p>
      <w:r>
        <w:rPr>
          <w:rFonts w:ascii="Times New Roman" w:hAnsi="Times New Roman"/>
          <w:b w:val="0"/>
          <w:i w:val="0"/>
          <w:sz w:val="22"/>
        </w:rPr>
        <w:t>4. 現代のセンサ工学によりC_b ≈ 1.0を設計上達成しうる</w:t>
      </w:r>
    </w:p>
    <w:p>
      <w:r>
        <w:rPr>
          <w:rFonts w:ascii="Times New Roman" w:hAnsi="Times New Roman"/>
          <w:b w:val="0"/>
          <w:i w:val="0"/>
          <w:sz w:val="22"/>
        </w:rPr>
      </w:r>
    </w:p>
    <w:p>
      <w:r>
        <w:rPr>
          <w:rFonts w:ascii="Times New Roman" w:hAnsi="Times New Roman"/>
          <w:b w:val="0"/>
          <w:i w:val="0"/>
          <w:sz w:val="22"/>
        </w:rPr>
        <w:t>本論文がJournal of Clinical Monitoring and Computingに特に適している理由：</w:t>
      </w:r>
    </w:p>
    <w:p>
      <w:r>
        <w:rPr>
          <w:rFonts w:ascii="Times New Roman" w:hAnsi="Times New Roman"/>
          <w:b w:val="0"/>
          <w:i w:val="0"/>
          <w:sz w:val="22"/>
        </w:rPr>
        <w:t>- 本誌はCritchley &amp; Critchley (1999)を掲載しており、我々はそのpercentage error基準を発展・補完する</w:t>
      </w:r>
    </w:p>
    <w:p>
      <w:r>
        <w:rPr>
          <w:rFonts w:ascii="Times New Roman" w:hAnsi="Times New Roman"/>
          <w:b w:val="0"/>
          <w:i w:val="0"/>
          <w:sz w:val="22"/>
        </w:rPr>
        <w:t>- バリデーション方法論は本誌の主要スコープに直接合致する</w:t>
      </w:r>
    </w:p>
    <w:p>
      <w:r>
        <w:rPr>
          <w:rFonts w:ascii="Times New Roman" w:hAnsi="Times New Roman"/>
          <w:b w:val="0"/>
          <w:i w:val="0"/>
          <w:sz w:val="22"/>
        </w:rPr>
        <w:t>- 提案する報告フレームワークは、麻酔科医・集中治療医・生体工学者にとって実践的意義がある</w:t>
      </w:r>
    </w:p>
    <w:p>
      <w:r>
        <w:rPr>
          <w:rFonts w:ascii="Times New Roman" w:hAnsi="Times New Roman"/>
          <w:b w:val="0"/>
          <w:i w:val="0"/>
          <w:sz w:val="22"/>
        </w:rPr>
      </w:r>
    </w:p>
    <w:p>
      <w:r>
        <w:rPr>
          <w:rFonts w:ascii="Times New Roman" w:hAnsi="Times New Roman"/>
          <w:b w:val="0"/>
          <w:i w:val="0"/>
          <w:sz w:val="22"/>
        </w:rPr>
        <w:t>本原稿は約4,000語、8図（コア4 + 補足4）、2表から構成されます。すべての図はオリジナルです。シミュレーションコードは再現性のために補足資料として提供可能です。</w:t>
      </w:r>
    </w:p>
    <w:p>
      <w:r>
        <w:rPr>
          <w:rFonts w:ascii="Times New Roman" w:hAnsi="Times New Roman"/>
          <w:b w:val="0"/>
          <w:i w:val="0"/>
          <w:sz w:val="22"/>
        </w:rPr>
      </w:r>
    </w:p>
    <w:p>
      <w:r>
        <w:rPr>
          <w:rFonts w:ascii="Times New Roman" w:hAnsi="Times New Roman"/>
          <w:b w:val="0"/>
          <w:i w:val="0"/>
          <w:sz w:val="22"/>
        </w:rPr>
        <w:t>本原稿は他誌に未発表であり、他誌で査読中でもありません。すべての著者が投稿版を承認しています。</w:t>
      </w:r>
    </w:p>
    <w:p>
      <w:r>
        <w:rPr>
          <w:rFonts w:ascii="Times New Roman" w:hAnsi="Times New Roman"/>
          <w:b w:val="0"/>
          <w:i w:val="0"/>
          <w:sz w:val="22"/>
        </w:rPr>
      </w:r>
    </w:p>
    <w:p>
      <w:r>
        <w:rPr>
          <w:rFonts w:ascii="Times New Roman" w:hAnsi="Times New Roman"/>
          <w:b w:val="0"/>
          <w:i w:val="0"/>
          <w:sz w:val="22"/>
        </w:rPr>
        <w:t>[利益相反：著者が記入]</w:t>
      </w:r>
    </w:p>
    <w:p>
      <w:r>
        <w:rPr>
          <w:rFonts w:ascii="Times New Roman" w:hAnsi="Times New Roman"/>
          <w:b w:val="0"/>
          <w:i w:val="0"/>
          <w:sz w:val="22"/>
        </w:rPr>
        <w:t>[資金源：著者が記入]</w:t>
      </w:r>
    </w:p>
    <w:p>
      <w:r>
        <w:rPr>
          <w:rFonts w:ascii="Times New Roman" w:hAnsi="Times New Roman"/>
          <w:b w:val="0"/>
          <w:i w:val="0"/>
          <w:sz w:val="22"/>
        </w:rPr>
        <w:t>[AI支援執筆の開示：著者が記入]</w:t>
      </w:r>
    </w:p>
    <w:p>
      <w:r>
        <w:rPr>
          <w:rFonts w:ascii="Times New Roman" w:hAnsi="Times New Roman"/>
          <w:b w:val="0"/>
          <w:i w:val="0"/>
          <w:sz w:val="22"/>
        </w:rPr>
      </w:r>
    </w:p>
    <w:p>
      <w:r>
        <w:rPr>
          <w:rFonts w:ascii="Times New Roman" w:hAnsi="Times New Roman"/>
          <w:b w:val="0"/>
          <w:i w:val="0"/>
          <w:sz w:val="22"/>
        </w:rPr>
        <w:t>ご検討のほどよろしくお願い申し上げます。</w:t>
      </w:r>
    </w:p>
    <w:p>
      <w:r>
        <w:rPr>
          <w:rFonts w:ascii="Times New Roman" w:hAnsi="Times New Roman"/>
          <w:b w:val="0"/>
          <w:i w:val="0"/>
          <w:sz w:val="22"/>
        </w:rPr>
      </w:r>
    </w:p>
    <w:p>
      <w:r>
        <w:rPr>
          <w:rFonts w:ascii="Times New Roman" w:hAnsi="Times New Roman"/>
          <w:b w:val="0"/>
          <w:i w:val="0"/>
          <w:sz w:val="22"/>
        </w:rPr>
        <w:t>敬具</w:t>
      </w:r>
    </w:p>
    <w:p>
      <w:r>
        <w:rPr>
          <w:rFonts w:ascii="Times New Roman" w:hAnsi="Times New Roman"/>
          <w:b w:val="0"/>
          <w:i w:val="0"/>
          <w:sz w:val="22"/>
        </w:rPr>
        <w:t>[責任著者名]</w:t>
      </w:r>
    </w:p>
    <w:p>
      <w:r>
        <w:rPr>
          <w:rFonts w:ascii="Times New Roman" w:hAnsi="Times New Roman"/>
          <w:b w:val="0"/>
          <w:i w:val="0"/>
          <w:sz w:val="22"/>
        </w:rPr>
        <w:t>[所属]</w:t>
      </w:r>
    </w:p>
    <w:p>
      <w:r>
        <w:rPr>
          <w:rFonts w:ascii="Times New Roman" w:hAnsi="Times New Roman"/>
          <w:b w:val="0"/>
          <w:i w:val="0"/>
          <w:sz w:val="22"/>
        </w:rPr>
        <w:t>[Email]</w:t>
      </w:r>
    </w:p>
    <w:p>
      <w:r>
        <w:rPr>
          <w:rFonts w:ascii="Times New Roman" w:hAnsi="Times New Roman"/>
          <w:b w:val="0"/>
          <w:i w:val="0"/>
          <w:sz w:val="22"/>
        </w:rPr>
        <w:t>[ORCID]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