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pPr>
      <w:r>
        <w:rPr>
          <w:rFonts w:ascii="Times New Roman" w:hAnsi="Times New Roman" w:eastAsia="MS Mincho"/>
          <w:b/>
          <w:i w:val="0"/>
          <w:sz w:val="32"/>
        </w:rPr>
        <w:t>資本会計における忘れられたテンポ効果：投資・産出間のタイム・トゥ・ビルド、無形資本、およびフロー型・ストック型国富指標の統合</w:t>
      </w:r>
    </w:p>
    <w:p>
      <w:pPr>
        <w:spacing w:after="120" w:line="480" w:lineRule="auto"/>
        <w:ind w:firstLine="480"/>
      </w:pPr>
      <w:r>
        <w:rPr>
          <w:rFonts w:ascii="Times New Roman" w:hAnsi="Times New Roman" w:eastAsia="MS Mincho"/>
          <w:b w:val="0"/>
          <w:i w:val="0"/>
          <w:sz w:val="24"/>
        </w:rPr>
        <w:t>大西達紀（Onishi Tatsuki）</w:t>
      </w:r>
    </w:p>
    <w:p>
      <w:pPr>
        <w:spacing w:after="120" w:line="48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480" w:lineRule="auto"/>
        <w:ind w:firstLine="480"/>
      </w:pPr>
      <w:r>
        <w:rPr>
          <w:rFonts w:ascii="Times New Roman" w:hAnsi="Times New Roman" w:eastAsia="MS Mincho"/>
          <w:b w:val="0"/>
          <w:i w:val="0"/>
          <w:sz w:val="24"/>
        </w:rPr>
        <w:t>〒522-8522 滋賀県彦根市馬場 1-1-1</w:t>
      </w:r>
    </w:p>
    <w:p>
      <w:pPr>
        <w:spacing w:after="120" w:line="480" w:lineRule="auto"/>
        <w:ind w:firstLine="480"/>
      </w:pPr>
      <w:r>
        <w:rPr>
          <w:rFonts w:ascii="Times New Roman" w:hAnsi="Times New Roman" w:eastAsia="MS Mincho"/>
          <w:b w:val="0"/>
          <w:i w:val="0"/>
          <w:sz w:val="24"/>
        </w:rPr>
        <w:t>電話：+81-749-27-1023. E-mail: bougtoir@gmail.com. ORCID: 0000-0001-7261-9062.</w:t>
      </w:r>
    </w:p>
    <w:p>
      <w:pPr>
        <w:spacing w:after="120" w:line="480" w:lineRule="auto"/>
        <w:ind w:firstLine="480"/>
      </w:pPr>
      <w:r>
        <w:rPr>
          <w:rFonts w:ascii="Times New Roman" w:hAnsi="Times New Roman" w:eastAsia="MS Mincho"/>
          <w:b w:val="0"/>
          <w:i w:val="0"/>
          <w:sz w:val="24"/>
        </w:rPr>
        <w:t>ランニングヘッド: 資本会計におけるテンポ効果</w:t>
      </w:r>
    </w:p>
    <w:p>
      <w:pPr>
        <w:spacing w:after="120" w:line="480" w:lineRule="auto"/>
        <w:ind w:firstLine="480"/>
      </w:pPr>
      <w:r>
        <w:rPr>
          <w:rFonts w:ascii="Times New Roman" w:hAnsi="Times New Roman" w:eastAsia="MS Mincho"/>
          <w:b w:val="0"/>
          <w:i w:val="0"/>
          <w:sz w:val="24"/>
        </w:rPr>
        <w:t>キーワード: テンポ効果、無形資本、恒久棚卸法、タイム・トゥ・ビルド、フロー=ストック整合性、Beyond-GDP。</w:t>
      </w:r>
    </w:p>
    <w:p>
      <w:pPr>
        <w:spacing w:after="120" w:line="480" w:lineRule="auto"/>
        <w:ind w:firstLine="480"/>
      </w:pPr>
      <w:r>
        <w:rPr>
          <w:rFonts w:ascii="Times New Roman" w:hAnsi="Times New Roman" w:eastAsia="MS Mincho"/>
          <w:b w:val="0"/>
          <w:i w:val="0"/>
          <w:sz w:val="24"/>
        </w:rPr>
        <w:t>JEL コード: E01（国民所得・生産勘定の測定とデータ）、E22（投資・資本・無形資本）、O47（経済成長・集計生産性の測定）。</w:t>
      </w:r>
    </w:p>
    <w:p>
      <w:pPr>
        <w:spacing w:after="120" w:line="480" w:lineRule="auto"/>
        <w:ind w:firstLine="480"/>
      </w:pPr>
      <w:r>
        <w:rPr>
          <w:rFonts w:ascii="Times New Roman" w:hAnsi="Times New Roman" w:eastAsia="MS Mincho"/>
          <w:b w:val="0"/>
          <w:i w:val="0"/>
          <w:sz w:val="24"/>
        </w:rPr>
        <w:t>CRediT 著者貢献: O.T.: 構想、方法論、ソフトウェア、形式的解析、原稿執筆（初稿）、執筆（査読・編集）。</w:t>
      </w:r>
    </w:p>
    <w:p>
      <w:pPr>
        <w:spacing w:after="120" w:line="480" w:lineRule="auto"/>
        <w:ind w:firstLine="480"/>
      </w:pPr>
      <w:r>
        <w:rPr>
          <w:rFonts w:ascii="Times New Roman" w:hAnsi="Times New Roman" w:eastAsia="MS Mincho"/>
          <w:b w:val="0"/>
          <w:i w:val="0"/>
          <w:sz w:val="24"/>
        </w:rPr>
        <w:t>生成 AI の科学的執筆への使用についての宣言: 著者は、文面のフォーマット整形、文体に合う語彙の選択、およびコード作成の補助に生成 AI を用いた。</w:t>
      </w:r>
    </w:p>
    <w:p>
      <w:pPr>
        <w:spacing w:after="120" w:line="480" w:lineRule="auto"/>
        <w:ind w:firstLine="480"/>
      </w:pPr>
      <w:r>
        <w:rPr>
          <w:rFonts w:ascii="Times New Roman" w:hAnsi="Times New Roman" w:eastAsia="MS Mincho"/>
          <w:b w:val="0"/>
          <w:i w:val="0"/>
          <w:sz w:val="24"/>
        </w:rPr>
        <w:t>利益相反: 著者は開示すべき利益相反を有しない。</w:t>
      </w:r>
    </w:p>
    <w:p>
      <w:pPr>
        <w:spacing w:after="120" w:line="480" w:lineRule="auto"/>
        <w:ind w:firstLine="480"/>
      </w:pPr>
      <w:r>
        <w:rPr>
          <w:rFonts w:ascii="Times New Roman" w:hAnsi="Times New Roman" w:eastAsia="MS Mincho"/>
          <w:b w:val="0"/>
          <w:i w:val="0"/>
          <w:sz w:val="24"/>
        </w:rPr>
        <w:t>データ・コード公開: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および世界銀行から公開されている。解析スクリプト、中間結果、原稿ソースは付随する公開リポジトリにすべて保管されている。</w:t>
      </w:r>
    </w:p>
    <w:p>
      <w:pPr>
        <w:spacing w:after="120" w:line="480" w:lineRule="auto"/>
        <w:ind w:firstLine="480"/>
      </w:pPr>
      <w:r>
        <w:rPr>
          <w:rFonts w:ascii="Times New Roman" w:hAnsi="Times New Roman" w:eastAsia="MS Mincho"/>
          <w:b w:val="0"/>
          <w:i w:val="0"/>
          <w:sz w:val="24"/>
        </w:rPr>
        <w:t>要旨（146語）。Goldstein, Lutz, and Scherbov (2003) が、出産テンポ効果を正しく扱い、かつ単一の「忘れられた」パリティ別分散 σ を導入することで欧州低出生パズルの大部分が解消することを示して以来、「量(quantum)」と「テンポ(tempo)」の双対は形式人口学の標準的レンズとなっている。本稿は、国民所得・国富会計には対応する診断手段が欠如していることを指摘し、Bongaarts-Feeney 分解を資本会計に移植する。具体的には、投資から産出への時間的遅延 μ(t) に時変を許し、無形資本 K_I（シェア β）をバランスシート上の σ として再導入する。Penn World Table 10.01 と世界銀行 CWON を用いた OECD＋新興 39 カ国の推定では、時変 μ(t) によって GDP 水準の標本外 MAPE が中央値で 4.60 %→3.99 % に低下し、生産面と国富面を同時同定すると両者は整合する。姉妹論文として医療支出・医療アウトカムへの拡張を進行中である。</w:t>
      </w:r>
    </w:p>
    <w:p>
      <w:pPr>
        <w:spacing w:after="120" w:line="480" w:lineRule="auto"/>
        <w:ind w:firstLine="480"/>
      </w:pPr>
      <w:r>
        <w:rPr>
          <w:rFonts w:ascii="Times New Roman" w:hAnsi="Times New Roman" w:eastAsia="MS Mincho"/>
          <w:b w:val="0"/>
          <w:i w:val="0"/>
          <w:sz w:val="24"/>
        </w:rPr>
        <w:t>キーワード: テンポ効果、無形資本、恒久棚卸法、国富会計、Beyond-GDP。</w:t>
      </w:r>
    </w:p>
    <w:p>
      <w:pPr>
        <w:spacing w:after="120" w:line="480" w:lineRule="auto"/>
        <w:ind w:firstLine="480"/>
      </w:pPr>
      <w:r>
        <w:rPr>
          <w:rFonts w:ascii="Times New Roman" w:hAnsi="Times New Roman" w:eastAsia="MS Mincho"/>
          <w:b w:val="0"/>
          <w:i w:val="0"/>
          <w:sz w:val="24"/>
        </w:rPr>
        <w:t>JEL コード: E01, E22, O47.</w:t>
      </w:r>
    </w:p>
    <w:p>
      <w:pPr>
        <w:spacing w:before="360" w:after="120" w:line="480" w:lineRule="auto"/>
      </w:pPr>
      <w:r>
        <w:rPr>
          <w:rFonts w:ascii="Times New Roman" w:hAnsi="Times New Roman" w:eastAsia="MS Mincho"/>
          <w:b/>
          <w:i w:val="0"/>
          <w:sz w:val="28"/>
        </w:rPr>
        <w:t>1. はじめに</w:t>
      </w:r>
    </w:p>
    <w:p>
      <w:pPr>
        <w:spacing w:after="120" w:line="480" w:lineRule="auto"/>
        <w:ind w:firstLine="480"/>
      </w:pPr>
      <w:r>
        <w:rPr>
          <w:rFonts w:ascii="Times New Roman" w:hAnsi="Times New Roman" w:eastAsia="MS Mincho"/>
          <w:b w:val="0"/>
          <w:i w:val="0"/>
          <w:sz w:val="24"/>
        </w:rPr>
        <w:t>マクロ経済学者なら誰しも、国民の豊かさを測るやり方について二つの別々だが関連する不満を聞いたことがある。第一に、国内総生産（GDP）はフロー指標であり、資源枯渇や減耗、さらには現代の生産性成長を牽引している無形資産ストックの蓄積を無視している（Stiglitz, Sen, and Fitoussi, 2009; Corrado, Hulten, and Sichel, 2009; Haskel and Westlake, 2017）。第二に、Inclusive Wealth Index（Managi and Kumar, 2018）、国連 SEEA（UNECE, 2014）、世界銀行 Changing Wealth of Nations（Lange, Wodon, and Carey, 2018）といったストック型代替指標は原理的には魅力的だが、独立に再構築した資本ストックとも、また相互にもほとんど一致しない。フロー型とストック型の国民経済計算は、この四半世紀、同じ家の別々の部屋で同居しながら、同じ卓にすら呼ばれて来なかった。</w:t>
      </w:r>
    </w:p>
    <w:p>
      <w:pPr>
        <w:spacing w:after="120" w:line="480" w:lineRule="auto"/>
        <w:ind w:firstLine="480"/>
      </w:pPr>
      <w:r>
        <w:rPr>
          <w:rFonts w:ascii="Times New Roman" w:hAnsi="Times New Roman" w:eastAsia="MS Mincho"/>
          <w:b w:val="0"/>
          <w:i w:val="0"/>
          <w:sz w:val="24"/>
        </w:rPr>
        <w:t>人口学はこの四半世紀、鏡像の問題をひっそりと解決していた。Bongaarts and Feeney (1998) は、平均初産年齢（あるいは母親の平均出産年齢 MAC）の上昇があると、コホート完結出生率が一定でも期間合計特殊出生率が機械的に低下することを示し、「テンポ歪み」を差し引く調整を提案した。Goldstein, Lutz, and Scherbov (2003) は、ここにパリティ別分散 σ を「忘れられたパラメータ」として戻すと、テンポ調整済み出生率がコホートデータに一段と近接することを示した。先送り、超低出生、生涯出産リスクに関する一世代分の文献がそれに続いた。構図は単純である。期間統計には偏りがあった、偏りは時間現象だった、構造的なタイミング・パラメータと一つの忘れられた量パラメータを書き下ろせば、再生産過程のフローとストックの帳簿は整合した。</w:t>
      </w:r>
    </w:p>
    <w:p>
      <w:pPr>
        <w:spacing w:after="120" w:line="480" w:lineRule="auto"/>
        <w:ind w:firstLine="480"/>
      </w:pPr>
      <w:r>
        <w:rPr>
          <w:rFonts w:ascii="Times New Roman" w:hAnsi="Times New Roman" w:eastAsia="MS Mincho"/>
          <w:b w:val="0"/>
          <w:i w:val="0"/>
          <w:sz w:val="24"/>
        </w:rPr>
        <w:t>本稿の主張は、資本会計にも Bongaarts-Feeney-Goldstein-Lutz-Scherbov 補正の「正確な類似物」が存在し、それが目の前に隠れているということである。これは修辞的比喩ではない。変数変換さえすれば、すべての人口量には対応する資本量が一対一で存在する（3.4 節、表 2）。出生は投資フローに相当する。人口ストックは資本ストックに相当する。平均出産年齢は、投資とその生産的展開の平均的な時間差――Kydland and Prescott (1982) が導入したが標準的な生産関数推定において時変を許されてこなかった「タイム・トゥ・ビルド」――に相当する。パリティ別分散 σ にはバランスシート上の直接の対応物があり、それは Corrado-Hulten-Sichel（CHS）が推定してきたが公的な国富会計（CWON を含む）はいまだ存在しないか残差として扱っている無形資本シェア β である。</w:t>
      </w:r>
    </w:p>
    <w:p>
      <w:pPr>
        <w:spacing w:after="120" w:line="480" w:lineRule="auto"/>
        <w:ind w:firstLine="480"/>
      </w:pPr>
      <w:r>
        <w:rPr>
          <w:rFonts w:ascii="Times New Roman" w:hAnsi="Times New Roman" w:eastAsia="MS Mincho"/>
          <w:b w:val="0"/>
          <w:i w:val="0"/>
          <w:sz w:val="24"/>
        </w:rPr>
        <w:t>本稿の貢献は四つある。第一に、フロー＝ストック恒等式 dW/dt = S(Y) − δW を、隠れパラメータ {μ(t), β} をフロー側とストック側の両方で明示する形に書き下ろす。第二に、時変タイム・トゥ・ビルド μ(t) = μ₀ + μ₁·(t − t₀) を許容すると、39 カ国における GDP 水準の標本外 MAPE の中央値が 4.60 % から 3.99 % に低下し、13 % の相対改善が得られることを示す。これは、まったく新しい生産要素を追加したときの改善と比肩しうる。第三に、テンポ補正と無形補正を CWON ストックデータに対して「同時」同定すると、生産面と国富面の尤度が国ごとに整合的な対 (μ̂ₖ, β̂ₖ) に到達することを示す。これは、Stiglitz-Sen-Fitoussi が求めた「統合国富会計」プログラムの最初の実証的成功例であると我々は読み解く。第四に、同一のテンポ＋忘却パラメータ機構を医療支出・医療アウトカムへ拡張する姉妹論文を予告する。そこでは、医療費から平均寿命へのラグが 2000 年以降、年 0.15 年ずつ延伸していることが予備的に示されている。</w:t>
      </w:r>
    </w:p>
    <w:p>
      <w:pPr>
        <w:spacing w:after="120" w:line="480" w:lineRule="auto"/>
        <w:ind w:firstLine="480"/>
      </w:pPr>
      <w:r>
        <w:rPr>
          <w:rFonts w:ascii="Times New Roman" w:hAnsi="Times New Roman" w:eastAsia="MS Mincho"/>
          <w:b w:val="0"/>
          <w:i w:val="0"/>
          <w:sz w:val="24"/>
        </w:rPr>
        <w:t>以降の構成は次の通り。第 2 節で関連文献を整理し、第 3 節で理論モデルを、第 4 節でデータと推定手法および五つのモデル M0–M4 を、第 5 節で結果を報告する。第 6 節で Solow 残差の再解釈、フロー＝ストック整合、Beyond-GDP の政策含意を議論し、第 7 節で結論を述べる。</w:t>
      </w:r>
    </w:p>
    <w:p>
      <w:pPr>
        <w:spacing w:before="360" w:after="120" w:line="480" w:lineRule="auto"/>
      </w:pPr>
      <w:r>
        <w:rPr>
          <w:rFonts w:ascii="Times New Roman" w:hAnsi="Times New Roman" w:eastAsia="MS Mincho"/>
          <w:b/>
          <w:i w:val="0"/>
          <w:sz w:val="28"/>
        </w:rPr>
        <w:t>2. 先行研究</w:t>
      </w:r>
    </w:p>
    <w:p>
      <w:pPr>
        <w:spacing w:after="120" w:line="480" w:lineRule="auto"/>
        <w:ind w:firstLine="480"/>
      </w:pPr>
      <w:r>
        <w:rPr>
          <w:rFonts w:ascii="Times New Roman" w:hAnsi="Times New Roman" w:eastAsia="MS Mincho"/>
          <w:b w:val="0"/>
          <w:i w:val="0"/>
          <w:sz w:val="24"/>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480" w:lineRule="auto"/>
        <w:ind w:firstLine="480"/>
      </w:pPr>
      <w:r>
        <w:rPr>
          <w:rFonts w:ascii="Times New Roman" w:hAnsi="Times New Roman" w:eastAsia="MS Mincho"/>
          <w:b w:val="0"/>
          <w:i w:val="0"/>
          <w:sz w:val="24"/>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4 節でもそのように扱う。</w:t>
      </w:r>
    </w:p>
    <w:p>
      <w:pPr>
        <w:spacing w:after="120" w:line="480" w:lineRule="auto"/>
        <w:ind w:firstLine="480"/>
      </w:pPr>
      <w:r>
        <w:rPr>
          <w:rFonts w:ascii="Times New Roman" w:hAnsi="Times New Roman" w:eastAsia="MS Mincho"/>
          <w:b w:val="0"/>
          <w:i w:val="0"/>
          <w:sz w:val="24"/>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480" w:lineRule="auto"/>
        <w:ind w:firstLine="480"/>
      </w:pPr>
      <w:r>
        <w:rPr>
          <w:rFonts w:ascii="Times New Roman" w:hAnsi="Times New Roman" w:eastAsia="MS Mincho"/>
          <w:b w:val="0"/>
          <w:i w:val="0"/>
          <w:sz w:val="24"/>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480" w:lineRule="auto"/>
        <w:ind w:firstLine="480"/>
      </w:pPr>
      <w:r>
        <w:rPr>
          <w:rFonts w:ascii="Times New Roman" w:hAnsi="Times New Roman" w:eastAsia="MS Mincho"/>
          <w:b w:val="0"/>
          <w:i w:val="0"/>
          <w:sz w:val="24"/>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line="480" w:lineRule="auto"/>
        <w:ind w:firstLine="480"/>
      </w:pPr>
      <w:r>
        <w:rPr>
          <w:rFonts w:ascii="Times New Roman" w:hAnsi="Times New Roman" w:eastAsia="MS Mincho"/>
          <w:b w:val="0"/>
          <w:i w:val="0"/>
          <w:sz w:val="24"/>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480" w:lineRule="auto"/>
      </w:pPr>
      <w:r>
        <w:rPr>
          <w:rFonts w:ascii="Times New Roman" w:hAnsi="Times New Roman" w:eastAsia="MS Mincho"/>
          <w:b/>
          <w:i w:val="0"/>
          <w:sz w:val="28"/>
        </w:rPr>
        <w:t>3. 理論</w:t>
      </w:r>
    </w:p>
    <w:p>
      <w:pPr>
        <w:spacing w:before="360" w:after="120" w:line="480" w:lineRule="auto"/>
      </w:pPr>
      <w:r>
        <w:rPr>
          <w:rFonts w:ascii="Times New Roman" w:hAnsi="Times New Roman" w:eastAsia="MS Mincho"/>
          <w:b/>
          <w:i w:val="0"/>
          <w:sz w:val="24"/>
        </w:rPr>
        <w:t>3.1 テンポ付きフロー側生産関数</w:t>
      </w:r>
    </w:p>
    <w:p>
      <w:pPr>
        <w:spacing w:after="120" w:line="480" w:lineRule="auto"/>
        <w:ind w:firstLine="480"/>
      </w:pPr>
      <w:r>
        <w:rPr>
          <w:rFonts w:ascii="Times New Roman" w:hAnsi="Times New Roman" w:eastAsia="MS Mincho"/>
          <w:b w:val="0"/>
          <w:i w:val="0"/>
          <w:sz w:val="24"/>
        </w:rPr>
        <w:t>教科書的な生産関数は、投資が即時に成熟するかのように扱う：</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ただし幾何的重み w_s(μ) = (1 − θ)·θ^s、θ = μ/(1+μ)、すなわち平均ラグはちょうど μ 年である。ラグ文献との本質的差別化は、μ に線形時変を許すことにある：</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360" w:after="120" w:line="480" w:lineRule="auto"/>
      </w:pPr>
      <w:r>
        <w:rPr>
          <w:rFonts w:ascii="Times New Roman" w:hAnsi="Times New Roman" w:eastAsia="MS Mincho"/>
          <w:b/>
          <w:i w:val="0"/>
          <w:sz w:val="24"/>
        </w:rPr>
        <w:t>3.2 ストック側の無形資本：忘れられた β</w:t>
      </w:r>
    </w:p>
    <w:p>
      <w:pPr>
        <w:spacing w:after="120" w:line="480" w:lineRule="auto"/>
        <w:ind w:firstLine="480"/>
      </w:pPr>
      <w:r>
        <w:rPr>
          <w:rFonts w:ascii="Times New Roman" w:hAnsi="Times New Roman" w:eastAsia="MS Mincho"/>
          <w:b w:val="0"/>
          <w:i w:val="0"/>
          <w:sz w:val="24"/>
        </w:rPr>
        <w:t>K_tang(t) を (M1)-(M2) から得られる有形 PIM ストックとし、K_I(t) を R&amp;D 支出を減耗率 δ_I = 0.15 で幾何的 PIM 化した無形ストックとする（Corrado-Hulten-Sichel, 2009）。無形を含む拡張生産関数は：</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ここで β は無形シェアである。標準慣行は β = 0 を課す（Solow; 本稿 M0・M1 も同様）。β &gt; 0 を推定することは、Goldstein-Lutz-Scherbov における σ 再導入の資本会計上の類似物である。</w:t>
      </w:r>
    </w:p>
    <w:p>
      <w:pPr>
        <w:spacing w:before="360" w:after="120" w:line="480" w:lineRule="auto"/>
      </w:pPr>
      <w:r>
        <w:rPr>
          <w:rFonts w:ascii="Times New Roman" w:hAnsi="Times New Roman" w:eastAsia="MS Mincho"/>
          <w:b/>
          <w:i w:val="0"/>
          <w:sz w:val="24"/>
        </w:rPr>
        <w:t>3.3 統合恒等式：フロー＝ストック同時損失関数</w:t>
      </w:r>
    </w:p>
    <w:p>
      <w:pPr>
        <w:spacing w:after="120" w:line="480" w:lineRule="auto"/>
        <w:ind w:firstLine="480"/>
      </w:pPr>
      <w:r>
        <w:rPr>
          <w:rFonts w:ascii="Times New Roman" w:hAnsi="Times New Roman" w:eastAsia="MS Mincho"/>
          <w:b w:val="0"/>
          <w:i w:val="0"/>
          <w:sz w:val="24"/>
        </w:rPr>
        <w:t>整合的な国富集計 W(t) は帳簿恒等式</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を必ず満たす。(1) のもとで、生産側を支配する {μ, β} は、国富勘定が含意する再生産可能資本軌道をも支配するはずである。したがって単一の同時損失関数を定義する：</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360" w:after="120" w:line="480" w:lineRule="auto"/>
      </w:pPr>
      <w:r>
        <w:rPr>
          <w:rFonts w:ascii="Times New Roman" w:hAnsi="Times New Roman" w:eastAsia="MS Mincho"/>
          <w:b/>
          <w:i w:val="0"/>
          <w:sz w:val="24"/>
        </w:rPr>
        <w:t>3.4 人口と資本の量・テンポ対応</w:t>
      </w:r>
    </w:p>
    <w:p>
      <w:pPr>
        <w:spacing w:after="120" w:line="480" w:lineRule="auto"/>
        <w:ind w:firstLine="480"/>
      </w:pPr>
      <w:r>
        <w:rPr>
          <w:rFonts w:ascii="Times New Roman" w:hAnsi="Times New Roman" w:eastAsia="MS Mincho"/>
          <w:b w:val="0"/>
          <w:i w:val="0"/>
          <w:sz w:val="24"/>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360" w:after="120" w:line="480" w:lineRule="auto"/>
      </w:pPr>
      <w:r>
        <w:rPr>
          <w:rFonts w:ascii="Times New Roman" w:hAnsi="Times New Roman" w:eastAsia="MS Mincho"/>
          <w:b/>
          <w:i w:val="0"/>
          <w:sz w:val="24"/>
        </w:rPr>
        <w:t>3.5 関係型PIM：資本会計のためのBrassモデル</w:t>
      </w:r>
    </w:p>
    <w:p>
      <w:pPr>
        <w:spacing w:after="120" w:line="48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1971）。本稿はこのアイデアを資本会計に移植する。K_PIM(t) をM0〜M4のいずれかのもとでPIM構築した資本ストック、K_CWON(t) をCWON生産資本NW.PCA.TOとする。関係型PIM（RPIM）を次のように定義する：</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(ρ₁, ρ₂) は両系列が観測され正値をとる重複年について OLS で推定される関係パラメータである。解釈は直截である：</w:t>
      </w:r>
    </w:p>
    <w:p>
      <w:pPr>
        <w:spacing w:after="120" w:line="480" w:lineRule="auto"/>
        <w:ind w:firstLine="480"/>
      </w:pPr>
      <w:r>
        <w:rPr>
          <w:rFonts w:ascii="Times New Roman" w:hAnsi="Times New Roman" w:eastAsia="MS Mincho"/>
          <w:b w:val="0"/>
          <w:i w:val="0"/>
          <w:sz w:val="24"/>
        </w:rPr>
        <w:t>* ρ₂ = 1 かつ ρ₁ = 0：PIM と CWON の勘定は完全に整合的である――両者はホワイトノイズ誤差を除いて同一の潜在ストックを測定している。</w:t>
      </w:r>
    </w:p>
    <w:p>
      <w:pPr>
        <w:spacing w:after="120" w:line="480" w:lineRule="auto"/>
        <w:ind w:firstLine="480"/>
      </w:pPr>
      <w:r>
        <w:rPr>
          <w:rFonts w:ascii="Times New Roman" w:hAnsi="Times New Roman" w:eastAsia="MS Mincho"/>
          <w:b w:val="0"/>
          <w:i w:val="0"/>
          <w:sz w:val="24"/>
        </w:rPr>
        <w:t>* ρ₂ ≠ 1：PIM は CWON に対して累積的（規模依存的）バイアスを持つ。ρ₂ &lt; 1 なら PIM は CWON に比べ資本成長を過小評価し、ρ₂ &gt; 1 なら過大評価する。</w:t>
      </w:r>
    </w:p>
    <w:p>
      <w:pPr>
        <w:spacing w:after="120" w:line="480" w:lineRule="auto"/>
        <w:ind w:firstLine="480"/>
      </w:pPr>
      <w:r>
        <w:rPr>
          <w:rFonts w:ascii="Times New Roman" w:hAnsi="Times New Roman" w:eastAsia="MS Mincho"/>
          <w:b w:val="0"/>
          <w:i w:val="0"/>
          <w:sz w:val="24"/>
        </w:rPr>
        <w:t>* ρ₁ ≠ 0：基準年のキャリブレーション、PPP 換算、資産カバレッジの差異を反映する水準シフトが存在する。</w:t>
      </w:r>
    </w:p>
    <w:p>
      <w:pPr>
        <w:spacing w:after="120" w:line="48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(ρ₁, ρ₂) は各モデル仕様（M0〜M4）のもとで計算できるため、テンポ・無形補正が実際に両勘定を近づけるかどうかの独立したチェックとして、ρ₂ が 1 に向かう改善を検証できる。</w:t>
      </w:r>
    </w:p>
    <w:p>
      <w:pPr>
        <w:spacing w:before="360" w:after="120" w:line="480" w:lineRule="auto"/>
      </w:pPr>
      <w:r>
        <w:rPr>
          <w:rFonts w:ascii="Times New Roman" w:hAnsi="Times New Roman" w:eastAsia="MS Mincho"/>
          <w:b/>
          <w:i w:val="0"/>
          <w:sz w:val="28"/>
        </w:rPr>
        <w:t>4. データと手法</w:t>
      </w:r>
    </w:p>
    <w:p>
      <w:pPr>
        <w:spacing w:before="360" w:after="120" w:line="480" w:lineRule="auto"/>
      </w:pPr>
      <w:r>
        <w:rPr>
          <w:rFonts w:ascii="Times New Roman" w:hAnsi="Times New Roman" w:eastAsia="MS Mincho"/>
          <w:b/>
          <w:i w:val="0"/>
          <w:sz w:val="24"/>
        </w:rPr>
        <w:t>4.1 データ</w:t>
      </w:r>
    </w:p>
    <w:p>
      <w:pPr>
        <w:spacing w:after="120" w:line="480" w:lineRule="auto"/>
        <w:ind w:firstLine="480"/>
      </w:pPr>
      <w:r>
        <w:rPr>
          <w:rFonts w:ascii="Times New Roman" w:hAnsi="Times New Roman" w:eastAsia="MS Mincho"/>
          <w:b w:val="0"/>
          <w:i w:val="0"/>
          <w:sz w:val="24"/>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line="48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480" w:lineRule="auto"/>
      </w:pPr>
      <w:r>
        <w:rPr>
          <w:rFonts w:ascii="Times New Roman" w:hAnsi="Times New Roman" w:eastAsia="MS Mincho"/>
          <w:b/>
          <w:i w:val="0"/>
          <w:sz w:val="24"/>
        </w:rPr>
        <w:t>4.2 モデル M0–M4</w:t>
      </w:r>
    </w:p>
    <w:p>
      <w:pPr>
        <w:spacing w:after="120" w:line="480" w:lineRule="auto"/>
        <w:ind w:firstLine="480"/>
      </w:pPr>
      <w:r>
        <w:rPr>
          <w:rFonts w:ascii="Times New Roman" w:hAnsi="Times New Roman" w:eastAsia="MS Mincho"/>
          <w:b w:val="0"/>
          <w:i w:val="0"/>
          <w:sz w:val="24"/>
        </w:rPr>
        <w:t>五つの入れ子型生産関数を推定する：</w:t>
      </w:r>
    </w:p>
    <w:p>
      <w:pPr>
        <w:spacing w:after="120" w:line="480" w:lineRule="auto"/>
        <w:ind w:firstLine="480"/>
      </w:pPr>
      <w:r>
        <w:rPr>
          <w:rFonts w:ascii="Times New Roman" w:hAnsi="Times New Roman" w:eastAsia="MS Mincho"/>
          <w:b w:val="0"/>
          <w:i w:val="0"/>
          <w:sz w:val="24"/>
        </w:rPr>
        <w:t xml:space="preserve"> M0: Solow 基準、K_tang* は上記 M0、β = 0。</w:t>
      </w:r>
    </w:p>
    <w:p>
      <w:pPr>
        <w:spacing w:after="120" w:line="480" w:lineRule="auto"/>
        <w:ind w:firstLine="480"/>
      </w:pPr>
      <w:r>
        <w:rPr>
          <w:rFonts w:ascii="Times New Roman" w:hAnsi="Times New Roman" w:eastAsia="MS Mincho"/>
          <w:b w:val="0"/>
          <w:i w:val="0"/>
          <w:sz w:val="24"/>
        </w:rPr>
        <w:t xml:space="preserve"> M1: 一定ラグ PIM (M1)、検定 B（成長率 RMSE）最小化で国別 μ = μ\** を推定。</w:t>
      </w:r>
    </w:p>
    <w:p>
      <w:pPr>
        <w:spacing w:after="120" w:line="480" w:lineRule="auto"/>
        <w:ind w:firstLine="480"/>
      </w:pPr>
      <w:r>
        <w:rPr>
          <w:rFonts w:ascii="Times New Roman" w:hAnsi="Times New Roman" w:eastAsia="MS Mincho"/>
          <w:b w:val="0"/>
          <w:i w:val="0"/>
          <w:sz w:val="24"/>
        </w:rPr>
        <w:t>* M2: 時変ラグ μ(t) = μ₀ + μ₁·(t − t₀)（上記 (M2)）。</w:t>
      </w:r>
    </w:p>
    <w:p>
      <w:pPr>
        <w:spacing w:after="120" w:line="480" w:lineRule="auto"/>
        <w:ind w:firstLine="480"/>
      </w:pPr>
      <w:r>
        <w:rPr>
          <w:rFonts w:ascii="Times New Roman" w:hAnsi="Times New Roman" w:eastAsia="MS Mincho"/>
          <w:b w:val="0"/>
          <w:i w:val="0"/>
          <w:sz w:val="24"/>
        </w:rPr>
        <w:t>* M3: M0 有形ストックに無形ストック K_I を追加し、成長率当てはめで β を推定。</w:t>
      </w:r>
    </w:p>
    <w:p>
      <w:pPr>
        <w:spacing w:after="120" w:line="480" w:lineRule="auto"/>
        <w:ind w:firstLine="480"/>
      </w:pPr>
      <w:r>
        <w:rPr>
          <w:rFonts w:ascii="Times New Roman" w:hAnsi="Times New Roman" w:eastAsia="MS Mincho"/>
          <w:b w:val="0"/>
          <w:i w:val="0"/>
          <w:sz w:val="24"/>
        </w:rPr>
        <w:t>* M4: 同時同定（3.3 節）。(2) を (μ, β) 上で CWON に対して同時最小化。</w:t>
      </w:r>
    </w:p>
    <w:p>
      <w:pPr>
        <w:spacing w:after="120" w:line="480" w:lineRule="auto"/>
        <w:ind w:firstLine="480"/>
      </w:pPr>
      <w:r>
        <w:rPr>
          <w:rFonts w:ascii="Times New Roman" w:hAnsi="Times New Roman" w:eastAsia="MS Mincho"/>
          <w:b w:val="0"/>
          <w:i w:val="0"/>
          <w:sz w:val="24"/>
        </w:rPr>
        <w:t>各モデルで標本内の二指標と標本外の一指標を報告する：</w:t>
      </w:r>
    </w:p>
    <w:p>
      <w:pPr>
        <w:spacing w:after="120" w:line="480" w:lineRule="auto"/>
        <w:ind w:firstLine="480"/>
      </w:pPr>
      <w:r>
        <w:rPr>
          <w:rFonts w:ascii="Times New Roman" w:hAnsi="Times New Roman" w:eastAsia="MS Mincho"/>
          <w:b w:val="0"/>
          <w:i w:val="0"/>
          <w:sz w:val="24"/>
        </w:rPr>
        <w:t>* 検定 A（水準 MAPE）: 観測 log-GDP に対する当てはめ log-GDP の MAPE。10 年窓 TFP を除去した水準について評価。低いほど良い。</w:t>
      </w:r>
    </w:p>
    <w:p>
      <w:pPr>
        <w:spacing w:after="120" w:line="480" w:lineRule="auto"/>
        <w:ind w:firstLine="480"/>
      </w:pPr>
      <w:r>
        <w:rPr>
          <w:rFonts w:ascii="Times New Roman" w:hAnsi="Times New Roman" w:eastAsia="MS Mincho"/>
          <w:b w:val="0"/>
          <w:i w:val="0"/>
          <w:sz w:val="24"/>
        </w:rPr>
        <w:t>* 検定 B（成長 RMSE）: 1 年 log-GDP 差分の RMSE、パーセンテージ・ポイント。低いほど良い。</w:t>
      </w:r>
    </w:p>
    <w:p>
      <w:pPr>
        <w:spacing w:after="120" w:line="480" w:lineRule="auto"/>
        <w:ind w:firstLine="480"/>
      </w:pPr>
      <w:r>
        <w:rPr>
          <w:rFonts w:ascii="Times New Roman" w:hAnsi="Times New Roman" w:eastAsia="MS Mincho"/>
          <w:b w:val="0"/>
          <w:i w:val="0"/>
          <w:sz w:val="24"/>
        </w:rPr>
        <w:t>* 標本外 MAPE: 1970〜2014 年でパラメータ推定、訓練窓 TFP を延長して 2015〜2019 年の水準予測を生成。低いほど良い。</w:t>
      </w:r>
    </w:p>
    <w:p>
      <w:pPr>
        <w:spacing w:before="360" w:after="120" w:line="480" w:lineRule="auto"/>
      </w:pPr>
      <w:r>
        <w:rPr>
          <w:rFonts w:ascii="Times New Roman" w:hAnsi="Times New Roman" w:eastAsia="MS Mincho"/>
          <w:b/>
          <w:i w:val="0"/>
          <w:sz w:val="24"/>
        </w:rPr>
        <w:t>4.3 推定手順とグリッド探索</w:t>
      </w:r>
    </w:p>
    <w:p>
      <w:pPr>
        <w:spacing w:after="120" w:line="480" w:lineRule="auto"/>
        <w:ind w:firstLine="480"/>
      </w:pPr>
      <w:r>
        <w:rPr>
          <w:rFonts w:ascii="Times New Roman" w:hAnsi="Times New Roman" w:eastAsia="MS Mincho"/>
          <w:b w:val="0"/>
          <w:i w:val="0"/>
          <w:sz w:val="24"/>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360" w:after="120" w:line="480" w:lineRule="auto"/>
      </w:pPr>
      <w:r>
        <w:rPr>
          <w:rFonts w:ascii="Times New Roman" w:hAnsi="Times New Roman" w:eastAsia="MS Mincho"/>
          <w:b/>
          <w:i w:val="0"/>
          <w:sz w:val="24"/>
        </w:rPr>
        <w:t>4.4 ブートストラップ信頼区間</w:t>
      </w:r>
    </w:p>
    <w:p>
      <w:pPr>
        <w:spacing w:after="120" w:line="480" w:lineRule="auto"/>
        <w:ind w:firstLine="480"/>
      </w:pPr>
      <w:r>
        <w:rPr>
          <w:rFonts w:ascii="Times New Roman" w:hAnsi="Times New Roman" w:eastAsia="MS Mincho"/>
          <w:b w:val="0"/>
          <w:i w:val="0"/>
          <w:sz w:val="24"/>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360" w:after="120" w:line="480" w:lineRule="auto"/>
      </w:pPr>
      <w:r>
        <w:rPr>
          <w:rFonts w:ascii="Times New Roman" w:hAnsi="Times New Roman" w:eastAsia="MS Mincho"/>
          <w:b/>
          <w:i w:val="0"/>
          <w:sz w:val="24"/>
        </w:rPr>
        <w:t>4.5 γ_price 感度</w:t>
      </w:r>
    </w:p>
    <w:p>
      <w:pPr>
        <w:spacing w:after="120" w:line="480" w:lineRule="auto"/>
        <w:ind w:firstLine="480"/>
      </w:pPr>
      <w:r>
        <w:rPr>
          <w:rFonts w:ascii="Times New Roman" w:hAnsi="Times New Roman" w:eastAsia="MS Mincho"/>
          <w:b w:val="0"/>
          <w:i w:val="0"/>
          <w:sz w:val="24"/>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360" w:after="120" w:line="480" w:lineRule="auto"/>
      </w:pPr>
      <w:r>
        <w:rPr>
          <w:rFonts w:ascii="Times New Roman" w:hAnsi="Times New Roman" w:eastAsia="MS Mincho"/>
          <w:b/>
          <w:i w:val="0"/>
          <w:sz w:val="28"/>
        </w:rPr>
        <w:t>5. 結果</w:t>
      </w:r>
    </w:p>
    <w:p>
      <w:pPr>
        <w:spacing w:before="360" w:after="120" w:line="480" w:lineRule="auto"/>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360" w:after="120" w:line="480" w:lineRule="auto"/>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48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48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48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480" w:lineRule="auto"/>
        <w:ind w:firstLine="480"/>
      </w:pPr>
      <w:r>
        <w:rPr>
          <w:rFonts w:ascii="Times New Roman" w:hAnsi="Times New Roman" w:eastAsia="MS Mincho"/>
          <w:b w:val="0"/>
          <w:i w:val="0"/>
          <w:sz w:val="24"/>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360" w:after="120" w:line="480" w:lineRule="auto"/>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480" w:lineRule="auto"/>
        <w:ind w:firstLine="480"/>
      </w:pPr>
      <w:r>
        <w:rPr>
          <w:rFonts w:ascii="Times New Roman" w:hAnsi="Times New Roman" w:eastAsia="MS Mincho"/>
          <w:b w:val="0"/>
          <w:i w:val="0"/>
          <w:sz w:val="24"/>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480" w:lineRule="auto"/>
        <w:ind w:firstLine="480"/>
      </w:pPr>
      <w:r>
        <w:rPr>
          <w:rFonts w:ascii="Times New Roman" w:hAnsi="Times New Roman" w:eastAsia="MS Mincho"/>
          <w:b w:val="0"/>
          <w:i w:val="0"/>
          <w:sz w:val="24"/>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360" w:after="120" w:line="480" w:lineRule="auto"/>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48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480" w:lineRule="auto"/>
        <w:ind w:firstLine="480"/>
      </w:pPr>
      <w:r>
        <w:rPr>
          <w:rFonts w:ascii="Times New Roman" w:hAnsi="Times New Roman" w:eastAsia="MS Mincho"/>
          <w:b w:val="0"/>
          <w:i w:val="0"/>
          <w:sz w:val="24"/>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line="480" w:lineRule="auto"/>
        <w:ind w:firstLine="480"/>
      </w:pPr>
      <w:r>
        <w:rPr>
          <w:rFonts w:ascii="Times New Roman" w:hAnsi="Times New Roman" w:eastAsia="MS Mincho"/>
          <w:b w:val="0"/>
          <w:i w:val="0"/>
          <w:sz w:val="24"/>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480" w:lineRule="auto"/>
      </w:pPr>
      <w:r>
        <w:rPr>
          <w:rFonts w:ascii="Times New Roman" w:hAnsi="Times New Roman" w:eastAsia="MS Mincho"/>
          <w:b/>
          <w:i w:val="0"/>
          <w:sz w:val="24"/>
        </w:rPr>
        <w:t>5.5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図 6 と表 3 に 3.5 節で定義した関係型 PIM 診断を報告する。二つの発見が際立つ。第一に、M0（即時 PIM、β = 0）のもとでの ρ̂₂ の 39 カ国中央値は 0.801 であり、整合ベンチマーク 1.0 を大きく下回る。ρ̂₂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ρ̂₂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480" w:lineRule="auto"/>
        <w:ind w:firstLine="480"/>
      </w:pPr>
      <w:r>
        <w:rPr>
          <w:rFonts w:ascii="Times New Roman" w:hAnsi="Times New Roman" w:eastAsia="MS Mincho"/>
          <w:b w:val="0"/>
          <w:i w:val="0"/>
          <w:sz w:val="24"/>
        </w:rPr>
        <w:t>図 6(b) は M4 のもとで ρ̂₁ を ρ̂₂ に対してプロットしている。(ρ₁ = 0, ρ₂ = 1) の参照点から遠い国――特にスイス（ρ̂₂ ≈ 0.40）、ポーランド（ρ̂₂ ≈ 0.60）、ノルウェー（ρ̂₂ ≈ 0.66）――は、PIM と CWON の資産カバレッジまたは天然資源レントの扱いが最も異なることが知られている国と一致する。したがって RPIM 診断は国別資本勘定のための単純で解釈可能な品質管理ツールとして機能する。ρ̂₂ が 1 から顕著に逸脱する国は、両勘定の資産構成仮定をより詳細に検討する必要がある。</w:t>
      </w:r>
    </w:p>
    <w:p>
      <w:pPr>
        <w:spacing w:before="360" w:after="120" w:line="480" w:lineRule="auto"/>
      </w:pPr>
      <w:r>
        <w:rPr>
          <w:rFonts w:ascii="Times New Roman" w:hAnsi="Times New Roman" w:eastAsia="MS Mincho"/>
          <w:b/>
          <w:i w:val="0"/>
          <w:sz w:val="24"/>
        </w:rPr>
        <w:t>5.6 減価償却率–ラグ感度分析</w:t>
      </w:r>
    </w:p>
    <w:p>
      <w:pPr>
        <w:spacing w:before="360" w:after="12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480" w:lineRule="auto"/>
        <w:ind w:firstLine="480"/>
      </w:pPr>
      <w:r>
        <w:rPr>
          <w:rFonts w:ascii="Times New Roman" w:hAnsi="Times New Roman" w:eastAsia="MS Mincho"/>
          <w:b w:val="0"/>
          <w:i w:val="0"/>
          <w:sz w:val="24"/>
        </w:rPr>
        <w:t>Inklaar の批判（6.5 節）は、真の減価償却率 δ 自体がドリフトしていれば、我々が μ(t) に帰属しているものの一部が時変 δ(t) に吸収されうる可能性を提起する。我々はこれに直接対処するため、五つの減価償却シナリオ δ × {0.80, 0.90, 1.00, 1.10, 1.20} のもとで一定ラグ μ̂（M1）を再推定した。</w:t>
      </w:r>
    </w:p>
    <w:p>
      <w:pPr>
        <w:spacing w:after="120" w:line="480" w:lineRule="auto"/>
        <w:ind w:firstLine="480"/>
      </w:pPr>
      <w:r>
        <w:rPr>
          <w:rFonts w:ascii="Times New Roman" w:hAnsi="Times New Roman" w:eastAsia="MS Mincho"/>
          <w:b w:val="0"/>
          <w:i w:val="0"/>
          <w:sz w:val="24"/>
        </w:rPr>
        <w:t>図 7 に結果を示す。主たる発見は、大半の国で μ̂ が ±20% の減価償却変動に対して著しく安定していることである。μ̂ の国間平均は δ × 0.80 の 1.61 年から δ × 1.20 の 1.52 年へと動くが、その差はわずか 0.09 年――ベースライン推定値の 6% 未満である。μ̂ の中央値は五つのシナリオすべてで 0.26 年とほぼ不変である。内点解の μ̂ 値を持つ国（ルクセンブルク、スロバキア、英国、スウェーデン）は期待される負の関係を示す：減価償却が高いほど推定ラグはわずかに短くなる。これは、より速い減価が遅延に帰属されるはずの成長率変動の一部を吸収するためである。しかし感度は量的に小さく、±20% の δ 変動で μ̂ が動く幅は最も感度の高い国（ルクセンブルク：3.75 → 3.00 年）でも最大 0.75 年にとどまる。非ゼロのラグが標本外当てはめを改善するという定性的結論は、この範囲内のいかなる妥当な減価償却の誤設定に対しても頑健である。</w:t>
      </w:r>
    </w:p>
    <w:p>
      <w:pPr>
        <w:spacing w:before="360" w:after="120" w:line="480" w:lineRule="auto"/>
      </w:pPr>
      <w:r>
        <w:rPr>
          <w:rFonts w:ascii="Times New Roman" w:hAnsi="Times New Roman" w:eastAsia="MS Mincho"/>
          <w:b/>
          <w:i w:val="0"/>
          <w:sz w:val="24"/>
        </w:rPr>
        <w:t>5.7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480" w:lineRule="auto"/>
        <w:ind w:firstLine="480"/>
      </w:pPr>
      <w:r>
        <w:rPr>
          <w:rFonts w:ascii="Times New Roman" w:hAnsi="Times New Roman" w:eastAsia="MS Mincho"/>
          <w:b w:val="0"/>
          <w:i w:val="0"/>
          <w:sz w:val="24"/>
        </w:rPr>
        <w:t>表 1 は M4（テンポ＋無形の同時推定）の標本外 MAPE が 4.61 % であり、M0（4.60 %）とほぼ同一であることを報告している。この見かけ上の非改善は精査に値する。サンプルの 39 カ国のうち 25 カ国は境界解の μ̂ 値を持つ――下限 0.01（実質ゼロラグ、18 カ国）または上限 6.0（7 カ国）のいずれかである。これらの国ではテンポ補正は不作動（μ̂ ≈ 0 ≡ M0）または飽和しているため、M0–M4 比較は構造的に無情報である。</w:t>
      </w:r>
    </w:p>
    <w:p>
      <w:pPr>
        <w:spacing w:after="120" w:line="480" w:lineRule="auto"/>
        <w:ind w:firstLine="480"/>
      </w:pPr>
      <w:r>
        <w:rPr>
          <w:rFonts w:ascii="Times New Roman" w:hAnsi="Times New Roman" w:eastAsia="MS Mincho"/>
          <w:b w:val="0"/>
          <w:i w:val="0"/>
          <w:sz w:val="24"/>
        </w:rPr>
        <w:t>図 8 は OOS 評価を内点解の μ̂（μ̂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480" w:lineRule="auto"/>
      </w:pPr>
      <w:r>
        <w:rPr>
          <w:rFonts w:ascii="Times New Roman" w:hAnsi="Times New Roman" w:eastAsia="MS Mincho"/>
          <w:b/>
          <w:i w:val="0"/>
          <w:sz w:val="24"/>
        </w:rPr>
        <w:t>5.8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48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48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480" w:lineRule="auto"/>
      </w:pPr>
      <w:r>
        <w:rPr>
          <w:rFonts w:ascii="Times New Roman" w:hAnsi="Times New Roman" w:eastAsia="MS Mincho"/>
          <w:b/>
          <w:i w:val="0"/>
          <w:sz w:val="24"/>
        </w:rPr>
        <w:t>5.9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480" w:lineRule="auto"/>
        <w:ind w:firstLine="480"/>
      </w:pPr>
      <w:r>
        <w:rPr>
          <w:rFonts w:ascii="Times New Roman" w:hAnsi="Times New Roman" w:eastAsia="MS Mincho"/>
          <w:b w:val="0"/>
          <w:i w:val="0"/>
          <w:sz w:val="24"/>
        </w:rPr>
        <w:t>自然な問いは、ρ̂₂ の国間変動が資産構成の観測可能な差異を反映しているかである。無形・R&amp;D 集約的投資のシェアが高い国は、PIM 構築が無形資産を省略していれば PIM–CWON 乖離が大きく（ρ̂₂ が低く）、M4 のテンポ・無形補正がこの乖離を首尾よく説明していれば ρ̂₂ が高くなることが期待される。</w:t>
      </w:r>
    </w:p>
    <w:p>
      <w:pPr>
        <w:spacing w:after="120" w:line="480" w:lineRule="auto"/>
        <w:ind w:firstLine="480"/>
      </w:pPr>
      <w:r>
        <w:rPr>
          <w:rFonts w:ascii="Times New Roman" w:hAnsi="Times New Roman" w:eastAsia="MS Mincho"/>
          <w:b w:val="0"/>
          <w:i w:val="0"/>
          <w:sz w:val="24"/>
        </w:rPr>
        <w:t>図 9 は ρ̂₂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の無形補正（β）が R&amp;D 強度と相関する資本ストックの成分を捉え、イノベーション志向経済の残差 PIM–CWON ギャップを縮小するという解釈と整合する。</w:t>
      </w:r>
    </w:p>
    <w:p>
      <w:pPr>
        <w:spacing w:after="120" w:line="480" w:lineRule="auto"/>
        <w:ind w:firstLine="480"/>
      </w:pPr>
      <w:r>
        <w:rPr>
          <w:rFonts w:ascii="Times New Roman" w:hAnsi="Times New Roman" w:eastAsia="MS Mincho"/>
          <w:b w:val="0"/>
          <w:i w:val="0"/>
          <w:sz w:val="24"/>
        </w:rPr>
        <w:t>クロスセクション R² は控えめ（13 %）にとどまり、PIM–CWON 乖離の他の多くの源泉（地価再評価、天然資源レント、資産寿命仮定の差異）を反映する。この結果は決定的というよりは示唆的に読むべきである：ρ̂₂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ρ̂₂ を資産クラス別に分解するという自然な拡張を示す。</w:t>
      </w:r>
    </w:p>
    <w:p>
      <w:pPr>
        <w:spacing w:before="360" w:after="120" w:line="480" w:lineRule="auto"/>
      </w:pPr>
      <w:r>
        <w:rPr>
          <w:rFonts w:ascii="Times New Roman" w:hAnsi="Times New Roman" w:eastAsia="MS Mincho"/>
          <w:b/>
          <w:i w:val="0"/>
          <w:sz w:val="28"/>
        </w:rPr>
        <w:t>6. 考察</w:t>
      </w:r>
    </w:p>
    <w:p>
      <w:pPr>
        <w:spacing w:before="360" w:after="120" w:line="480" w:lineRule="auto"/>
      </w:pPr>
      <w:r>
        <w:rPr>
          <w:rFonts w:ascii="Times New Roman" w:hAnsi="Times New Roman" w:eastAsia="MS Mincho"/>
          <w:b/>
          <w:i w:val="0"/>
          <w:sz w:val="24"/>
        </w:rPr>
        <w:t>6.1 Solow 残差の再解釈</w:t>
      </w:r>
    </w:p>
    <w:p>
      <w:pPr>
        <w:spacing w:after="120" w:line="480" w:lineRule="auto"/>
        <w:ind w:firstLine="480"/>
      </w:pPr>
      <w:r>
        <w:rPr>
          <w:rFonts w:ascii="Times New Roman" w:hAnsi="Times New Roman" w:eastAsia="MS Mincho"/>
          <w:b w:val="0"/>
          <w:i w:val="0"/>
          <w:sz w:val="24"/>
        </w:rPr>
        <w:t>標準的 Solow 分解は残差を TFP に帰する。M0（即時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360" w:after="120" w:line="480" w:lineRule="auto"/>
      </w:pPr>
      <w:r>
        <w:rPr>
          <w:rFonts w:ascii="Times New Roman" w:hAnsi="Times New Roman" w:eastAsia="MS Mincho"/>
          <w:b/>
          <w:i w:val="0"/>
          <w:sz w:val="24"/>
        </w:rPr>
        <w:t>6.2 Bongaarts-Feeney-Goldstein-Lutz-Scherbov との類比</w:t>
      </w:r>
    </w:p>
    <w:p>
      <w:pPr>
        <w:spacing w:after="120" w:line="480" w:lineRule="auto"/>
        <w:ind w:firstLine="480"/>
      </w:pPr>
      <w:r>
        <w:rPr>
          <w:rFonts w:ascii="Times New Roman" w:hAnsi="Times New Roman" w:eastAsia="MS Mincho"/>
          <w:b w:val="0"/>
          <w:i w:val="0"/>
          <w:sz w:val="24"/>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480" w:lineRule="auto"/>
        <w:ind w:firstLine="480"/>
      </w:pPr>
      <w:r>
        <w:rPr>
          <w:rFonts w:ascii="Times New Roman" w:hAnsi="Times New Roman" w:eastAsia="MS Mincho"/>
          <w:b w:val="0"/>
          <w:i w:val="0"/>
          <w:sz w:val="24"/>
        </w:rPr>
        <w:t>少なくとも最も保守的な水準では、第 5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360" w:after="120" w:line="480" w:lineRule="auto"/>
      </w:pPr>
      <w:r>
        <w:rPr>
          <w:rFonts w:ascii="Times New Roman" w:hAnsi="Times New Roman" w:eastAsia="MS Mincho"/>
          <w:b/>
          <w:i w:val="0"/>
          <w:sz w:val="24"/>
        </w:rPr>
        <w:t>6.3 フロー＝ストック整合と Beyond-GDP</w:t>
      </w:r>
    </w:p>
    <w:p>
      <w:pPr>
        <w:spacing w:after="120" w:line="480" w:lineRule="auto"/>
        <w:ind w:firstLine="480"/>
      </w:pPr>
      <w:r>
        <w:rPr>
          <w:rFonts w:ascii="Times New Roman" w:hAnsi="Times New Roman" w:eastAsia="MS Mincho"/>
          <w:b w:val="0"/>
          <w:i w:val="0"/>
          <w:sz w:val="24"/>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line="48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360" w:after="120" w:line="480" w:lineRule="auto"/>
      </w:pPr>
      <w:r>
        <w:rPr>
          <w:rFonts w:ascii="Times New Roman" w:hAnsi="Times New Roman" w:eastAsia="MS Mincho"/>
          <w:b/>
          <w:i w:val="0"/>
          <w:sz w:val="24"/>
        </w:rPr>
        <w:t>6.4 医療領域への展望</w:t>
      </w:r>
    </w:p>
    <w:p>
      <w:pPr>
        <w:spacing w:after="120" w:line="480" w:lineRule="auto"/>
        <w:ind w:firstLine="480"/>
      </w:pPr>
      <w:r>
        <w:rPr>
          <w:rFonts w:ascii="Times New Roman" w:hAnsi="Times New Roman" w:eastAsia="MS Mincho"/>
          <w:b w:val="0"/>
          <w:i w:val="0"/>
          <w:sz w:val="24"/>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360" w:after="120" w:line="480" w:lineRule="auto"/>
      </w:pPr>
      <w:r>
        <w:rPr>
          <w:rFonts w:ascii="Times New Roman" w:hAnsi="Times New Roman" w:eastAsia="MS Mincho"/>
          <w:b/>
          <w:i w:val="0"/>
          <w:sz w:val="24"/>
        </w:rPr>
        <w:t>6.5 限界</w:t>
      </w:r>
    </w:p>
    <w:p>
      <w:pPr>
        <w:spacing w:after="120" w:line="480" w:lineRule="auto"/>
        <w:ind w:firstLine="480"/>
      </w:pPr>
      <w:r>
        <w:rPr>
          <w:rFonts w:ascii="Times New Roman" w:hAnsi="Times New Roman" w:eastAsia="MS Mincho"/>
          <w:b w:val="0"/>
          <w:i w:val="0"/>
          <w:sz w:val="24"/>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360" w:after="120" w:line="480" w:lineRule="auto"/>
      </w:pPr>
      <w:r>
        <w:rPr>
          <w:rFonts w:ascii="Times New Roman" w:hAnsi="Times New Roman" w:eastAsia="MS Mincho"/>
          <w:b/>
          <w:i w:val="0"/>
          <w:sz w:val="28"/>
        </w:rPr>
        <w:t>7. 結論</w:t>
      </w:r>
    </w:p>
    <w:p>
      <w:pPr>
        <w:spacing w:after="120" w:line="48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480" w:lineRule="auto"/>
        <w:ind w:firstLine="480"/>
      </w:pPr>
      <w:r>
        <w:rPr>
          <w:rFonts w:ascii="Times New Roman" w:hAnsi="Times New Roman" w:eastAsia="MS Mincho"/>
          <w:b w:val="0"/>
          <w:i w:val="0"/>
          <w:sz w:val="24"/>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480" w:lineRule="auto"/>
      </w:pPr>
      <w:r>
        <w:rPr>
          <w:rFonts w:ascii="Times New Roman" w:hAnsi="Times New Roman" w:eastAsia="MS Mincho"/>
          <w:b/>
          <w:i w:val="0"/>
          <w:sz w:val="28"/>
        </w:rPr>
        <w:t>表</w:t>
      </w:r>
    </w:p>
    <w:p>
      <w:pPr>
        <w:spacing w:after="120" w:line="480" w:lineRule="auto"/>
        <w:ind w:firstLine="480"/>
      </w:pPr>
      <w:r>
        <w:rPr>
          <w:rFonts w:ascii="Times New Roman" w:hAnsi="Times New Roman" w:eastAsia="MS Mincho"/>
          <w:b w:val="0"/>
          <w:i w:val="0"/>
          <w:sz w:val="24"/>
        </w:rPr>
        <w:t>表 1.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2.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表 3. 関係型PIM診断：M0, M1, M2, M4 における 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4.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before="360" w:after="120" w:line="480" w:lineRule="auto"/>
      </w:pPr>
      <w:r>
        <w:rPr>
          <w:rFonts w:ascii="Times New Roman" w:hAnsi="Times New Roman" w:eastAsia="MS Mincho"/>
          <w:b/>
          <w:i w:val="0"/>
          <w:sz w:val="28"/>
        </w:rPr>
        <w:t>参考文献</w:t>
      </w:r>
    </w:p>
    <w:p>
      <w:pPr>
        <w:spacing w:after="120" w:line="480" w:lineRule="auto"/>
        <w:ind w:firstLine="480"/>
      </w:pPr>
      <w:r>
        <w:rPr>
          <w:rFonts w:ascii="Times New Roman" w:hAnsi="Times New Roman" w:eastAsia="MS Mincho"/>
          <w:b w:val="0"/>
          <w:i w:val="0"/>
          <w:sz w:val="24"/>
        </w:rPr>
        <w:t>Arrow, Kenneth J., Partha Dasgupta, Lawrence H. Goulder, Kevin J. Mumford, and Kirsten Oleson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John and Griffith Feeney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John and Tomáš Sobotka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William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Corrado, Carol, Charles Hulten, and Daniel Sichel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Carol, Charles Hulten, and Daniel Sichel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Carol, Jonathan Haskel, Cecilia Jona-Lasinio, and Massimiliano Iommi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Carol, Jonathan Haskel, Massimiliano Iommi, and Cecilia Jona-Lasinio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Partha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Gaétan and Adam B. Jaffe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Feenstra, Robert C., Robert Inklaar, and Marcel P. Timmer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Joshua R., Wolfgang Lutz, and Sergei Scherbov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Hamano, Masashige and Yongchao Zhao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Jonathan and Stian Westlake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Jonathan and Stian Westlake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Inklaar, Robert and Marcel P. Timmer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Dale 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Dale W., Mun S. Ho, and Kevin J. Stiroh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Joseph 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Petya (2000) The facts about time-to-build. IMF Working Paper 00/138.</w:t>
      </w:r>
    </w:p>
    <w:p>
      <w:pPr>
        <w:spacing w:after="120" w:line="480" w:lineRule="auto"/>
        <w:ind w:firstLine="480"/>
      </w:pPr>
      <w:r>
        <w:rPr>
          <w:rFonts w:ascii="Times New Roman" w:hAnsi="Times New Roman" w:eastAsia="MS Mincho"/>
          <w:b w:val="0"/>
          <w:i w:val="0"/>
          <w:sz w:val="24"/>
        </w:rPr>
        <w:t>Kohler, Hans-Peter, Francesco C. Billari, and José Antonio Ortega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Finn E. and Edward C. Prescott (1982) Time to build and aggregate fluctuations. Econometrica 50, 1345–1370.</w:t>
      </w:r>
    </w:p>
    <w:p>
      <w:pPr>
        <w:spacing w:after="120" w:line="480" w:lineRule="auto"/>
        <w:ind w:firstLine="480"/>
      </w:pPr>
      <w:r>
        <w:rPr>
          <w:rFonts w:ascii="Times New Roman" w:hAnsi="Times New Roman" w:eastAsia="MS Mincho"/>
          <w:b w:val="0"/>
          <w:i w:val="0"/>
          <w:sz w:val="24"/>
        </w:rPr>
        <w:t>Lange, Glenn-Marie, Quentin Wodon, and Kevin Carey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Shunsuke and Pushpam Kumar (eds.) (2018) Inclusive Wealth Report 2018. London: Routledge.</w:t>
      </w:r>
    </w:p>
    <w:p>
      <w:pPr>
        <w:spacing w:after="120" w:line="480" w:lineRule="auto"/>
        <w:ind w:firstLine="480"/>
      </w:pPr>
      <w:r>
        <w:rPr>
          <w:rFonts w:ascii="Times New Roman" w:hAnsi="Times New Roman" w:eastAsia="MS Mincho"/>
          <w:b w:val="0"/>
          <w:i w:val="0"/>
          <w:sz w:val="24"/>
        </w:rPr>
        <w:t>Mayer, Thomas (1960) Plant and equipment lead times. Journal of Business 33, 127–132.</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Felix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Joshua A., Haidong Wang, Michael K. Freeman, Theo Vos, Abraham D. Flaxman, Alan D. Lopez, and Christopher J. L. Murray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Frank and Rafael Wouters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Robert 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Joseph E., Amartya Sen, and Jean-Paul Fitoussi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