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360" w:lineRule="auto"/>
      </w:pPr>
      <w:r>
        <w:rPr>
          <w:rFonts w:ascii="Times New Roman" w:hAnsi="Times New Roman" w:eastAsia="MS Mincho"/>
          <w:b/>
          <w:i w:val="0"/>
          <w:sz w:val="32"/>
        </w:rPr>
        <w:t>What the Solow Residual Has Been Hiding: Tempo Drift and the Missing Intangible Share in National Capital Stocks</w:t>
      </w:r>
    </w:p>
    <w:p>
      <w:pPr>
        <w:spacing w:after="120" w:line="360" w:lineRule="auto"/>
        <w:ind w:firstLine="480"/>
      </w:pPr>
      <w:r>
        <w:rPr>
          <w:rFonts w:ascii="Times New Roman" w:hAnsi="Times New Roman" w:eastAsia="MS Mincho"/>
          <w:b/>
          <w:i w:val="0"/>
          <w:sz w:val="24"/>
        </w:rPr>
        <w:t>Onishi Tatsuki</w:t>
      </w:r>
    </w:p>
    <w:p>
      <w:pPr>
        <w:spacing w:after="120" w:line="360" w:lineRule="auto"/>
        <w:ind w:firstLine="480"/>
      </w:pPr>
      <w:r>
        <w:rPr>
          <w:rFonts w:ascii="Times New Roman" w:hAnsi="Times New Roman" w:eastAsia="MS Mincho"/>
          <w:b w:val="0"/>
          <w:i w:val="0"/>
          <w:sz w:val="24"/>
        </w:rPr>
        <w:t>Data Science AI Innovation Research Promotion Center, Shiga University</w:t>
      </w:r>
    </w:p>
    <w:p>
      <w:pPr>
        <w:spacing w:after="120" w:line="360" w:lineRule="auto"/>
        <w:ind w:firstLine="480"/>
      </w:pPr>
      <w:r>
        <w:rPr>
          <w:rFonts w:ascii="Times New Roman" w:hAnsi="Times New Roman" w:eastAsia="MS Mincho"/>
          <w:b w:val="0"/>
          <w:i w:val="0"/>
          <w:sz w:val="24"/>
        </w:rPr>
        <w:t>1-1-1, Bamba, Hikone, Shiga, 522-8522 Japan</w:t>
      </w:r>
    </w:p>
    <w:p>
      <w:pPr>
        <w:spacing w:after="120" w:line="360" w:lineRule="auto"/>
        <w:ind w:firstLine="480"/>
      </w:pPr>
      <w:r>
        <w:rPr>
          <w:rFonts w:ascii="Times New Roman" w:hAnsi="Times New Roman" w:eastAsia="MS Mincho"/>
          <w:b w:val="0"/>
          <w:i w:val="0"/>
          <w:sz w:val="24"/>
        </w:rPr>
        <w:t>Telephone: +81-749-27-1023. E-mail: bougtoir@gmail.com. ORCID: 0000-0001-7261-9062.</w:t>
      </w:r>
    </w:p>
    <w:p>
      <w:pPr>
        <w:spacing w:after="120" w:line="360" w:lineRule="auto"/>
        <w:ind w:firstLine="480"/>
      </w:pPr>
      <w:r>
        <w:rPr>
          <w:rFonts w:ascii="Times New Roman" w:hAnsi="Times New Roman" w:eastAsia="MS Mincho"/>
          <w:b/>
          <w:i w:val="0"/>
          <w:sz w:val="24"/>
        </w:rPr>
        <w:t>Keywords</w:t>
      </w:r>
      <w:r>
        <w:rPr>
          <w:rFonts w:ascii="Times New Roman" w:hAnsi="Times New Roman" w:eastAsia="MS Mincho"/>
          <w:b w:val="0"/>
          <w:i w:val="0"/>
          <w:sz w:val="24"/>
        </w:rPr>
        <w:t>: Solow residual; time-to-build; intangible capital; growth accounting; national wealth.</w:t>
      </w:r>
    </w:p>
    <w:p>
      <w:pPr>
        <w:spacing w:after="120" w:line="360" w:lineRule="auto"/>
        <w:ind w:firstLine="480"/>
      </w:pPr>
      <w:r>
        <w:rPr>
          <w:rFonts w:ascii="Times New Roman" w:hAnsi="Times New Roman" w:eastAsia="MS Mincho"/>
          <w:b/>
          <w:i w:val="0"/>
          <w:sz w:val="24"/>
        </w:rPr>
        <w:t>JEL codes</w:t>
      </w:r>
      <w:r>
        <w:rPr>
          <w:rFonts w:ascii="Times New Roman" w:hAnsi="Times New Roman" w:eastAsia="MS Mincho"/>
          <w:b w:val="0"/>
          <w:i w:val="0"/>
          <w:sz w:val="24"/>
        </w:rPr>
        <w:t>: E01; E22; O47.</w:t>
      </w:r>
    </w:p>
    <w:p>
      <w:pPr>
        <w:spacing w:after="120" w:line="360" w:lineRule="auto"/>
        <w:ind w:firstLine="480"/>
      </w:pPr>
      <w:r>
        <w:rPr>
          <w:rFonts w:ascii="Times New Roman" w:hAnsi="Times New Roman" w:eastAsia="MS Mincho"/>
          <w:b/>
          <w:i w:val="0"/>
          <w:sz w:val="24"/>
        </w:rPr>
        <w:t>Statements and Declarations</w:t>
      </w:r>
    </w:p>
    <w:p>
      <w:pPr>
        <w:spacing w:after="120" w:line="360" w:lineRule="auto"/>
        <w:ind w:firstLine="480"/>
      </w:pPr>
      <w:r>
        <w:rPr>
          <w:rFonts w:ascii="Times New Roman" w:hAnsi="Times New Roman" w:eastAsia="MS Mincho"/>
          <w:b w:val="0"/>
          <w:i/>
          <w:sz w:val="24"/>
        </w:rPr>
        <w:t>Competing interests.</w:t>
      </w:r>
      <w:r>
        <w:rPr>
          <w:rFonts w:ascii="Times New Roman" w:hAnsi="Times New Roman" w:eastAsia="MS Mincho"/>
          <w:b w:val="0"/>
          <w:i w:val="0"/>
          <w:sz w:val="24"/>
        </w:rPr>
        <w:t xml:space="preserve"> The author declares no competing interests.</w:t>
      </w:r>
    </w:p>
    <w:p>
      <w:pPr>
        <w:spacing w:after="120" w:line="360" w:lineRule="auto"/>
        <w:ind w:firstLine="480"/>
      </w:pPr>
      <w:r>
        <w:rPr>
          <w:rFonts w:ascii="Times New Roman" w:hAnsi="Times New Roman" w:eastAsia="MS Mincho"/>
          <w:b w:val="0"/>
          <w:i/>
          <w:sz w:val="24"/>
        </w:rPr>
        <w:t>Funding.</w:t>
      </w:r>
      <w:r>
        <w:rPr>
          <w:rFonts w:ascii="Times New Roman" w:hAnsi="Times New Roman" w:eastAsia="MS Mincho"/>
          <w:b w:val="0"/>
          <w:i w:val="0"/>
          <w:sz w:val="24"/>
        </w:rPr>
        <w:t xml:space="preserve"> No external funding was received for this research.</w:t>
      </w:r>
    </w:p>
    <w:p>
      <w:pPr>
        <w:spacing w:after="120" w:line="360" w:lineRule="auto"/>
        <w:ind w:firstLine="480"/>
      </w:pPr>
      <w:r>
        <w:rPr>
          <w:rFonts w:ascii="Times New Roman" w:hAnsi="Times New Roman" w:eastAsia="MS Mincho"/>
          <w:b w:val="0"/>
          <w:i/>
          <w:sz w:val="24"/>
        </w:rPr>
        <w:t>Data and code availability.</w:t>
      </w:r>
      <w:r>
        <w:rPr>
          <w:rFonts w:ascii="Times New Roman" w:hAnsi="Times New Roman" w:eastAsia="MS Mincho"/>
          <w:b w:val="0"/>
          <w:i w:val="0"/>
          <w:sz w:val="24"/>
        </w:rPr>
        <w:t xml:space="preserve"> Penn World Table 10.01, World Bank CWON, and World Bank WDI data used in this study are publicly available from the Groningen Growth and Development Centre and the World Bank, respectively. All analysis scripts, intermediate results, and manuscript sources are archived in the accompanying public repository (https://github.com/bougtoir/gdp-tempo-paper).</w:t>
      </w:r>
    </w:p>
    <w:p>
      <w:pPr>
        <w:spacing w:after="120" w:line="360" w:lineRule="auto"/>
        <w:ind w:firstLine="480"/>
      </w:pPr>
      <w:r>
        <w:rPr>
          <w:rFonts w:ascii="Times New Roman" w:hAnsi="Times New Roman" w:eastAsia="MS Mincho"/>
          <w:b w:val="0"/>
          <w:i/>
          <w:sz w:val="24"/>
        </w:rPr>
        <w:t>Use of AI tools.</w:t>
      </w:r>
      <w:r>
        <w:rPr>
          <w:rFonts w:ascii="Times New Roman" w:hAnsi="Times New Roman" w:eastAsia="MS Mincho"/>
          <w:b w:val="0"/>
          <w:i w:val="0"/>
          <w:sz w:val="24"/>
        </w:rPr>
        <w:t xml:space="preserve"> The author used generative AI to assist with formatting the text, choosing words that suited the tone, and writing analysis code. The author reviewed and edited the content as needed and takes full responsibility for the content of the published article.</w:t>
      </w:r>
    </w:p>
    <w:p>
      <w:pPr>
        <w:spacing w:after="120" w:line="360" w:lineRule="auto"/>
        <w:ind w:firstLine="480"/>
      </w:pPr>
      <w:r>
        <w:rPr>
          <w:rFonts w:ascii="Times New Roman" w:hAnsi="Times New Roman" w:eastAsia="MS Mincho"/>
          <w:b/>
          <w:i w:val="0"/>
          <w:sz w:val="24"/>
        </w:rPr>
        <w:t>Abstract.</w:t>
      </w:r>
      <w:r>
        <w:rPr>
          <w:rFonts w:ascii="Times New Roman" w:hAnsi="Times New Roman" w:eastAsia="MS Mincho"/>
          <w:b w:val="0"/>
          <w:i w:val="0"/>
          <w:sz w:val="24"/>
        </w:rPr>
        <w:t xml:space="preserve"> A measurable share of what conventional growth accounting calls total factor productivity (TFP) is a book-keeping artefact: it reflects a drifting time-to-build parameter </w:t>
      </w:r>
      <w:r>
        <w:rPr>
          <w:rFonts w:ascii="Times New Roman" w:hAnsi="Times New Roman" w:eastAsia="MS Mincho"/>
          <w:b w:val="0"/>
          <w:i/>
          <w:sz w:val="24"/>
        </w:rPr>
        <w:t>μ</w:t>
      </w:r>
      <w:r>
        <w:rPr>
          <w:rFonts w:ascii="Times New Roman" w:hAnsi="Times New Roman" w:eastAsia="MS Mincho"/>
          <w:b w:val="0"/>
          <w:i w:val="0"/>
          <w:sz w:val="24"/>
        </w:rPr>
        <w:t xml:space="preserve">(t) and an omitted intangible-capital share </w:t>
      </w:r>
      <w:r>
        <w:rPr>
          <w:rFonts w:ascii="Times New Roman" w:hAnsi="Times New Roman" w:eastAsia="MS Mincho"/>
          <w:b w:val="0"/>
          <w:i/>
          <w:sz w:val="24"/>
        </w:rPr>
        <w:t>β</w:t>
      </w:r>
      <w:r>
        <w:rPr>
          <w:rFonts w:ascii="Times New Roman" w:hAnsi="Times New Roman" w:eastAsia="MS Mincho"/>
          <w:b w:val="0"/>
          <w:i w:val="0"/>
          <w:sz w:val="24"/>
        </w:rPr>
        <w:t xml:space="preserve"> that official statistics set to zero. Across 39 OECD and middle-income economies (Penn World Table 10.01, World Bank CWON, 1995–2019), letting </w:t>
      </w:r>
      <w:r>
        <w:rPr>
          <w:rFonts w:ascii="Times New Roman" w:hAnsi="Times New Roman" w:eastAsia="MS Mincho"/>
          <w:b w:val="0"/>
          <w:i/>
          <w:sz w:val="24"/>
        </w:rPr>
        <w:t>μ</w:t>
      </w:r>
      <w:r>
        <w:rPr>
          <w:rFonts w:ascii="Times New Roman" w:hAnsi="Times New Roman" w:eastAsia="MS Mincho"/>
          <w:b w:val="0"/>
          <w:i w:val="0"/>
          <w:sz w:val="24"/>
        </w:rPr>
        <w:t xml:space="preserve"> drift and </w:t>
      </w:r>
      <w:r>
        <w:rPr>
          <w:rFonts w:ascii="Times New Roman" w:hAnsi="Times New Roman" w:eastAsia="MS Mincho"/>
          <w:b w:val="0"/>
          <w:i/>
          <w:sz w:val="24"/>
        </w:rPr>
        <w:t>β</w:t>
      </w:r>
      <w:r>
        <w:rPr>
          <w:rFonts w:ascii="Times New Roman" w:hAnsi="Times New Roman" w:eastAsia="MS Mincho"/>
          <w:b w:val="0"/>
          <w:i w:val="0"/>
          <w:sz w:val="24"/>
        </w:rPr>
        <w:t xml:space="preserve"> enter the production function jointly reduces the out-of-sample GDP-level forecast error from 4.60% to 3.99% — a 13% relative improvement obtained without new data or stochastic machinery. A Solow-residual decomposition shows that up to 30% of TFP-growth variance is attributable to tempo drift alone. Counterfactual wealth calculations indicate that official produced-capital figures understate intangible-adjusted wealth by 0.3–1.1% for high-R&amp;D economies. These corrections reconcile production-side (flow) and wealth-side (stock) national accounts to within 1–2% for most countries, resolving a long-standing tension in the Beyond-GDP debate.</w:t>
      </w:r>
    </w:p>
    <w:p>
      <w:pPr>
        <w:spacing w:after="120" w:line="360" w:lineRule="auto"/>
        <w:ind w:firstLine="480"/>
      </w:pPr>
      <w:r>
        <w:rPr>
          <w:rFonts w:ascii="Times New Roman" w:hAnsi="Times New Roman" w:eastAsia="MS Mincho"/>
          <w:b/>
          <w:i w:val="0"/>
          <w:sz w:val="24"/>
        </w:rPr>
        <w:t>Keywords</w:t>
      </w:r>
      <w:r>
        <w:rPr>
          <w:rFonts w:ascii="Times New Roman" w:hAnsi="Times New Roman" w:eastAsia="MS Mincho"/>
          <w:b w:val="0"/>
          <w:i w:val="0"/>
          <w:sz w:val="24"/>
        </w:rPr>
        <w:t>: Solow residual; time-to-build; intangible capital; growth accounting; national wealth.</w:t>
      </w:r>
    </w:p>
    <w:p>
      <w:pPr>
        <w:spacing w:after="120" w:line="360" w:lineRule="auto"/>
        <w:ind w:firstLine="480"/>
      </w:pPr>
      <w:r>
        <w:rPr>
          <w:rFonts w:ascii="Times New Roman" w:hAnsi="Times New Roman" w:eastAsia="MS Mincho"/>
          <w:b/>
          <w:i w:val="0"/>
          <w:sz w:val="24"/>
        </w:rPr>
        <w:t>JEL codes</w:t>
      </w:r>
      <w:r>
        <w:rPr>
          <w:rFonts w:ascii="Times New Roman" w:hAnsi="Times New Roman" w:eastAsia="MS Mincho"/>
          <w:b w:val="0"/>
          <w:i w:val="0"/>
          <w:sz w:val="24"/>
        </w:rPr>
        <w:t>: E01, E22, O47.</w:t>
      </w:r>
    </w:p>
    <w:p>
      <w:pPr>
        <w:spacing w:before="360" w:after="120" w:line="360" w:lineRule="auto"/>
      </w:pPr>
      <w:r>
        <w:rPr>
          <w:rFonts w:ascii="Times New Roman" w:hAnsi="Times New Roman" w:eastAsia="MS Mincho"/>
          <w:b/>
          <w:i w:val="0"/>
          <w:sz w:val="28"/>
        </w:rPr>
        <w:t>Introduction</w:t>
      </w:r>
    </w:p>
    <w:p>
      <w:pPr>
        <w:spacing w:after="120" w:line="360" w:lineRule="auto"/>
        <w:ind w:firstLine="480"/>
      </w:pPr>
      <w:r>
        <w:rPr>
          <w:rFonts w:ascii="Times New Roman" w:hAnsi="Times New Roman" w:eastAsia="MS Mincho"/>
          <w:b w:val="0"/>
          <w:i w:val="0"/>
          <w:sz w:val="24"/>
        </w:rPr>
        <w:t>Since Solow (1957), the residual in growth accounting has been treated as an index of technological progress. Half a century of refinements — sector-specific capital, human capital, utilisation adjustments — has shrunk the residual somewhat, but TFP growth still absorbs a substantial, poorly understood component of output variation. This paper shows that a measurable share of what has been called TFP is a book-keeping artefact created by two parameters that conventional growth accounting sets to zero.</w:t>
      </w:r>
    </w:p>
    <w:p>
      <w:pPr>
        <w:spacing w:after="120" w:line="360" w:lineRule="auto"/>
        <w:ind w:firstLine="480"/>
      </w:pPr>
      <w:r>
        <w:rPr>
          <w:rFonts w:ascii="Times New Roman" w:hAnsi="Times New Roman" w:eastAsia="MS Mincho"/>
          <w:b w:val="0"/>
          <w:i w:val="0"/>
          <w:sz w:val="24"/>
        </w:rPr>
        <w:t xml:space="preserve">The first parameter is the time-varying investment-to-output lag, </w:t>
      </w:r>
      <w:r>
        <w:rPr>
          <w:rFonts w:ascii="Times New Roman" w:hAnsi="Times New Roman" w:eastAsia="MS Mincho"/>
          <w:b w:val="0"/>
          <w:i/>
          <w:sz w:val="24"/>
        </w:rPr>
        <w:t>μ</w:t>
      </w:r>
      <w:r>
        <w:rPr>
          <w:rFonts w:ascii="Times New Roman" w:hAnsi="Times New Roman" w:eastAsia="MS Mincho"/>
          <w:b w:val="0"/>
          <w:i w:val="0"/>
          <w:sz w:val="24"/>
        </w:rPr>
        <w:t>(t). The standard perpetual inventory method (PIM) assumes that investment becomes productive instantaneously (</w:t>
      </w:r>
      <w:r>
        <w:rPr>
          <w:rFonts w:ascii="Times New Roman" w:hAnsi="Times New Roman" w:eastAsia="MS Mincho"/>
          <w:b w:val="0"/>
          <w:i/>
          <w:sz w:val="24"/>
        </w:rPr>
        <w:t>μ</w:t>
      </w:r>
      <w:r>
        <w:rPr>
          <w:rFonts w:ascii="Times New Roman" w:hAnsi="Times New Roman" w:eastAsia="MS Mincho"/>
          <w:b w:val="0"/>
          <w:i w:val="0"/>
          <w:sz w:val="24"/>
        </w:rPr>
        <w:t xml:space="preserve"> = 0) or with a fixed, time-invariant lag. Yet the composition of investment has shifted decisively toward long-lead assets — custom software, cloud infrastructure, pharmaceutical R&amp;D, and complex engineering systems — whose gestation periods differ by nearly an order of magnitude from the plant-and-equipment on which the original lag literature was calibrated (OECD, 2013; Corrado et al., 2020). If </w:t>
      </w:r>
      <w:r>
        <w:rPr>
          <w:rFonts w:ascii="Times New Roman" w:hAnsi="Times New Roman" w:eastAsia="MS Mincho"/>
          <w:b w:val="0"/>
          <w:i/>
          <w:sz w:val="24"/>
        </w:rPr>
        <w:t>μ</w:t>
      </w:r>
      <w:r>
        <w:rPr>
          <w:rFonts w:ascii="Times New Roman" w:hAnsi="Times New Roman" w:eastAsia="MS Mincho"/>
          <w:b w:val="0"/>
          <w:i w:val="0"/>
          <w:sz w:val="24"/>
        </w:rPr>
        <w:t xml:space="preserve"> has been rising but is treated as zero, the PIM capital stock is mis-timed and the Solow residual absorbs the error. The second parameter is the intangible capital share, </w:t>
      </w:r>
      <w:r>
        <w:rPr>
          <w:rFonts w:ascii="Times New Roman" w:hAnsi="Times New Roman" w:eastAsia="MS Mincho"/>
          <w:b w:val="0"/>
          <w:i/>
          <w:sz w:val="24"/>
        </w:rPr>
        <w:t>β</w:t>
      </w:r>
      <w:r>
        <w:rPr>
          <w:rFonts w:ascii="Times New Roman" w:hAnsi="Times New Roman" w:eastAsia="MS Mincho"/>
          <w:b w:val="0"/>
          <w:i w:val="0"/>
          <w:sz w:val="24"/>
        </w:rPr>
        <w:t xml:space="preserve">. Corrado, Hulten, and Sichel (2005, 2009) have shown that intangible investment is quantitatively large, yet official wealth accounts — including the World Bank Changing Wealth of Nations (CWON; Lange, Wodon, and Carey, 2018) — still exclude most intangibles from produced capital. When </w:t>
      </w:r>
      <w:r>
        <w:rPr>
          <w:rFonts w:ascii="Times New Roman" w:hAnsi="Times New Roman" w:eastAsia="MS Mincho"/>
          <w:b w:val="0"/>
          <w:i/>
          <w:sz w:val="24"/>
        </w:rPr>
        <w:t>β</w:t>
      </w:r>
      <w:r>
        <w:rPr>
          <w:rFonts w:ascii="Times New Roman" w:hAnsi="Times New Roman" w:eastAsia="MS Mincho"/>
          <w:b w:val="0"/>
          <w:i w:val="0"/>
          <w:sz w:val="24"/>
        </w:rPr>
        <w:t xml:space="preserve"> is forced to zero, the missing capital again inflates TFP.</w:t>
      </w:r>
    </w:p>
    <w:p>
      <w:pPr>
        <w:spacing w:after="120" w:line="360" w:lineRule="auto"/>
        <w:ind w:firstLine="480"/>
      </w:pPr>
      <w:r>
        <w:rPr>
          <w:rFonts w:ascii="Times New Roman" w:hAnsi="Times New Roman" w:eastAsia="MS Mincho"/>
          <w:b w:val="0"/>
          <w:i w:val="0"/>
          <w:sz w:val="24"/>
        </w:rPr>
        <w:t xml:space="preserve">We identify both parameters simultaneously, exploiting a structural analogy with population statistics. Bongaarts and Feeney (1998) showed that a drifting mean age at childbearing depresses measured period fertility even when completed fertility is constant; Goldstein, Lutz, and Scherbov (2003) showed that adding a single "forgotten" parity-specific variance parameter resolves the discrepancy. The same mathematics applies, under a precise change of variables, to capital accounting (Table 2): investment plays the role of births, the PIM capital stock plays the role of the population stock, </w:t>
      </w:r>
      <w:r>
        <w:rPr>
          <w:rFonts w:ascii="Times New Roman" w:hAnsi="Times New Roman" w:eastAsia="MS Mincho"/>
          <w:b w:val="0"/>
          <w:i/>
          <w:sz w:val="24"/>
        </w:rPr>
        <w:t>μ</w:t>
      </w:r>
      <w:r>
        <w:rPr>
          <w:rFonts w:ascii="Times New Roman" w:hAnsi="Times New Roman" w:eastAsia="MS Mincho"/>
          <w:b w:val="0"/>
          <w:i w:val="0"/>
          <w:sz w:val="24"/>
        </w:rPr>
        <w:t xml:space="preserve">(t) is the analogue of the mean age at childbearing, and </w:t>
      </w:r>
      <w:r>
        <w:rPr>
          <w:rFonts w:ascii="Times New Roman" w:hAnsi="Times New Roman" w:eastAsia="MS Mincho"/>
          <w:b w:val="0"/>
          <w:i/>
          <w:sz w:val="24"/>
        </w:rPr>
        <w:t>β</w:t>
      </w:r>
      <w:r>
        <w:rPr>
          <w:rFonts w:ascii="Times New Roman" w:hAnsi="Times New Roman" w:eastAsia="MS Mincho"/>
          <w:b w:val="0"/>
          <w:i w:val="0"/>
          <w:sz w:val="24"/>
        </w:rPr>
        <w:t xml:space="preserve"> is the analogue of the forgotten variance. It is worth noting that the tempo adjustment was itself a neglected insight within demography for decades after its formalisation: the fertility-tempo literature lay dormant from the 1970s until Bongaarts and Feeney revived it in 1998, and it took a further five years before Goldstein, Lutz, and Scherbov supplied the missing variance parameter. If a timing correction that had been under demographers' noses for a generation proved transformative once rediscovered, it would be surprising if the identical correction — applied for the first time to the vastly larger domain of capital accounting and GDP measurement — carried no new empirical content.</w:t>
      </w:r>
    </w:p>
    <w:p>
      <w:pPr>
        <w:spacing w:after="120" w:line="360" w:lineRule="auto"/>
        <w:ind w:firstLine="480"/>
      </w:pPr>
      <w:r>
        <w:rPr>
          <w:rFonts w:ascii="Times New Roman" w:hAnsi="Times New Roman" w:eastAsia="MS Mincho"/>
          <w:b w:val="0"/>
          <w:i w:val="0"/>
          <w:sz w:val="24"/>
        </w:rPr>
        <w:t xml:space="preserve">Our contribution is three-fold. First, we estimate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jointly across 39 OECD and middle-income economies (Penn World Table 10.01, World Bank CWON, 1995–2019) and show that the time-varying </w:t>
      </w:r>
      <w:r>
        <w:rPr>
          <w:rFonts w:ascii="Times New Roman" w:hAnsi="Times New Roman" w:eastAsia="MS Mincho"/>
          <w:b w:val="0"/>
          <w:i/>
          <w:sz w:val="24"/>
        </w:rPr>
        <w:t>μ</w:t>
      </w:r>
      <w:r>
        <w:rPr>
          <w:rFonts w:ascii="Times New Roman" w:hAnsi="Times New Roman" w:eastAsia="MS Mincho"/>
          <w:b w:val="0"/>
          <w:i w:val="0"/>
          <w:sz w:val="24"/>
        </w:rPr>
        <w:t>(t) reduces the out-of-sample GDP-level forecast error from 4.60 % to 3.99 %, a 13 % relative improvement obtained without new data or stochastic machinery. Second, a Solow-residual decomposition reveals that tempo drift alone accounts for up to 30 % of TFP-growth variance in some countries, and counterfactual wealth calculations show that official produced-capital figures understate intangible-adjusted wealth by 0.3–1.1 % in high-R&amp;D economies. Third, the joint corrections reconcile production-side (flow) and wealth-side (stock) national accounts to within 1–2 % for most countries, which to our knowledge is the first empirical success of the "unified national-wealth accounting" programme that Stiglitz, Sen, and Fitoussi (2009) called for.</w:t>
      </w:r>
    </w:p>
    <w:p>
      <w:pPr>
        <w:spacing w:after="120" w:line="360" w:lineRule="auto"/>
        <w:ind w:firstLine="480"/>
      </w:pPr>
      <w:r>
        <w:rPr>
          <w:rFonts w:ascii="Times New Roman" w:hAnsi="Times New Roman" w:eastAsia="MS Mincho"/>
          <w:b w:val="0"/>
          <w:i w:val="0"/>
          <w:sz w:val="24"/>
        </w:rPr>
        <w:t>The remainder of the paper is organised as follows. Sect. 2 reviews the capital-accounting, intangibles, and tempo-demography literatures. Sect. 3 develops the theory. Sect. 4 describes the data and methods and defines five models M0–M4 of increasing generality. Sect. 5 reports results, including the Solow-residual decomposition and counterfactual wealth simulation. Sect. 6 discusses policy implications and the Beyond-GDP debate. Sect. 7 concludes.</w:t>
      </w:r>
    </w:p>
    <w:p>
      <w:pPr>
        <w:spacing w:before="360" w:after="120" w:line="360" w:lineRule="auto"/>
      </w:pPr>
      <w:r>
        <w:rPr>
          <w:rFonts w:ascii="Times New Roman" w:hAnsi="Times New Roman" w:eastAsia="MS Mincho"/>
          <w:b/>
          <w:i w:val="0"/>
          <w:sz w:val="28"/>
        </w:rPr>
        <w:t>2 Related literature</w:t>
      </w:r>
    </w:p>
    <w:p>
      <w:pPr>
        <w:spacing w:after="120" w:line="360" w:lineRule="auto"/>
        <w:ind w:firstLine="480"/>
      </w:pPr>
      <w:r>
        <w:rPr>
          <w:rFonts w:ascii="Times New Roman" w:hAnsi="Times New Roman" w:eastAsia="MS Mincho"/>
          <w:b/>
          <w:i w:val="0"/>
          <w:sz w:val="24"/>
        </w:rPr>
        <w:t>Capital accounting and time-to-build.</w:t>
      </w:r>
      <w:r>
        <w:rPr>
          <w:rFonts w:ascii="Times New Roman" w:hAnsi="Times New Roman" w:eastAsia="MS Mincho"/>
          <w:b w:val="0"/>
          <w:i w:val="0"/>
          <w:sz w:val="24"/>
        </w:rPr>
        <w:t xml:space="preserve"> Since Kydland and Prescott (1982) it has been standard practice to insert a multi-period investment lag into business-cycle models. Empirical estimates are overwhelmingly based on fixed lag structures: a single </w:t>
      </w:r>
      <w:r>
        <w:rPr>
          <w:rFonts w:ascii="Times New Roman" w:hAnsi="Times New Roman" w:eastAsia="MS Mincho"/>
          <w:b w:val="0"/>
          <w:i/>
          <w:sz w:val="24"/>
        </w:rPr>
        <w:t>μ</w:t>
      </w:r>
      <w:r>
        <w:rPr>
          <w:rFonts w:ascii="Times New Roman" w:hAnsi="Times New Roman" w:eastAsia="MS Mincho"/>
          <w:b w:val="0"/>
          <w:i w:val="0"/>
          <w:sz w:val="24"/>
        </w:rPr>
        <w:t xml:space="preserve"> is estimated once for an entire sample, or a small number of regime-dependent </w:t>
      </w:r>
      <w:r>
        <w:rPr>
          <w:rFonts w:ascii="Times New Roman" w:hAnsi="Times New Roman" w:eastAsia="MS Mincho"/>
          <w:b w:val="0"/>
          <w:i/>
          <w:sz w:val="24"/>
        </w:rPr>
        <w:t>μ</w:t>
      </w:r>
      <w:r>
        <w:rPr>
          <w:rFonts w:ascii="Times New Roman" w:hAnsi="Times New Roman" w:eastAsia="MS Mincho"/>
          <w:b w:val="0"/>
          <w:i w:val="0"/>
          <w:sz w:val="24"/>
        </w:rPr>
        <w:t xml:space="preserve">s are estimated for recession and expansion states (Mayer, 1960; Koeva, 2000). Kaboski (2005) documents cross-industry heterogeneity but, again, in a time-invariant fashion. More recent work (Altug, 1989; Christiano and Todd, 1996; Edge, 2007) has explored stochastic extensions in which the lag distribution is allowed to depend on sectoral composition, but still does not allow </w:t>
      </w:r>
      <w:r>
        <w:rPr>
          <w:rFonts w:ascii="Times New Roman" w:hAnsi="Times New Roman" w:eastAsia="MS Mincho"/>
          <w:b w:val="0"/>
          <w:i/>
          <w:sz w:val="24"/>
        </w:rPr>
        <w:t>μ</w:t>
      </w:r>
      <w:r>
        <w:rPr>
          <w:rFonts w:ascii="Times New Roman" w:hAnsi="Times New Roman" w:eastAsia="MS Mincho"/>
          <w:b w:val="0"/>
          <w:i w:val="0"/>
          <w:sz w:val="24"/>
        </w:rPr>
        <w:t xml:space="preserve"> to drift systematically over decades. We know of no prior study that lets the typical investment-to-output lag drift in the way that demographers have documented for the mean age at childbearing. The omission is consequential because post-1990 investment has shifted substantially toward long-lead assets — custom industrial software, cloud infrastructure, pharmaceutical R&amp;D, complex engineering systems — whose gestation periods differ by nearly an order of magnitude from the plant-and-equipment of the 1960s on which the original lag literature was calibrated (OECD, 2013; Corrado et al., 2020).</w:t>
      </w:r>
    </w:p>
    <w:p>
      <w:pPr>
        <w:spacing w:after="120" w:line="360" w:lineRule="auto"/>
        <w:ind w:firstLine="480"/>
      </w:pPr>
      <w:r>
        <w:rPr>
          <w:rFonts w:ascii="Times New Roman" w:hAnsi="Times New Roman" w:eastAsia="MS Mincho"/>
          <w:b/>
          <w:i w:val="0"/>
          <w:sz w:val="24"/>
        </w:rPr>
        <w:t>Intangible capital.</w:t>
      </w:r>
      <w:r>
        <w:rPr>
          <w:rFonts w:ascii="Times New Roman" w:hAnsi="Times New Roman" w:eastAsia="MS Mincho"/>
          <w:b w:val="0"/>
          <w:i w:val="0"/>
          <w:sz w:val="24"/>
        </w:rPr>
        <w:t xml:space="preserve"> The programme begun by Corrado, Hulten, and Sichel (2005, 2009) has by now produced robust international evidence that software, R&amp;D, design, brand, organisational capital, and training account for 30–60 % of productivity growth in advanced economies (INTAN-Invest: Corrado et al., 2016; Roth, 2023). The 2008 revision of the System of National Accounts (SNA) formally incorporated R&amp;D into produced capital, but broader intangibles — organisational capital, brand, training, purchased design services, some categories of financial innovation — remain excluded from most official balance sheets, including the World Bank CWON (Lange et al., 2018, Chap. 3). De Rassenfosse and Jaffe (2018) and Haskel and Westlake (2017, 2022) emphasise that this omission biases not only the level of measured capital but also the implied productivity growth rate whenever the intangible share is expanding — exactly the setting of our 1995-2019 sample. Importantly, the intangible share </w:t>
      </w:r>
      <w:r>
        <w:rPr>
          <w:rFonts w:ascii="Times New Roman" w:hAnsi="Times New Roman" w:eastAsia="MS Mincho"/>
          <w:b w:val="0"/>
          <w:i/>
          <w:sz w:val="24"/>
        </w:rPr>
        <w:t>β</w:t>
      </w:r>
      <w:r>
        <w:rPr>
          <w:rFonts w:ascii="Times New Roman" w:hAnsi="Times New Roman" w:eastAsia="MS Mincho"/>
          <w:b w:val="0"/>
          <w:i w:val="0"/>
          <w:sz w:val="24"/>
        </w:rPr>
        <w:t xml:space="preserve"> is not a global constant: Japan, Germany, and some East-Asian economies retain a smaller intangible share than the United States even under harmonised measurement (Corrado et al., 2020), so </w:t>
      </w:r>
      <w:r>
        <w:rPr>
          <w:rFonts w:ascii="Times New Roman" w:hAnsi="Times New Roman" w:eastAsia="MS Mincho"/>
          <w:b w:val="0"/>
          <w:i/>
          <w:sz w:val="24"/>
        </w:rPr>
        <w:t>β</w:t>
      </w:r>
      <w:r>
        <w:rPr>
          <w:rFonts w:ascii="Times New Roman" w:hAnsi="Times New Roman" w:eastAsia="MS Mincho"/>
          <w:b w:val="0"/>
          <w:i w:val="0"/>
          <w:sz w:val="24"/>
        </w:rPr>
        <w:t xml:space="preserve"> ought to be a country-specific parameter, which is how we treat it in Sect. 4.</w:t>
      </w:r>
    </w:p>
    <w:p>
      <w:pPr>
        <w:spacing w:after="120" w:line="360" w:lineRule="auto"/>
        <w:ind w:firstLine="480"/>
      </w:pPr>
      <w:r>
        <w:rPr>
          <w:rFonts w:ascii="Times New Roman" w:hAnsi="Times New Roman" w:eastAsia="MS Mincho"/>
          <w:b/>
          <w:i w:val="0"/>
          <w:sz w:val="24"/>
        </w:rPr>
        <w:t>Wealth accounting.</w:t>
      </w:r>
      <w:r>
        <w:rPr>
          <w:rFonts w:ascii="Times New Roman" w:hAnsi="Times New Roman" w:eastAsia="MS Mincho"/>
          <w:b w:val="0"/>
          <w:i w:val="0"/>
          <w:sz w:val="24"/>
        </w:rPr>
        <w:t xml:space="preserve"> The Beyond-GDP movement, from Stiglitz-Sen-Fitoussi (2009) through Jorgenson (2018) and Managi-Kumar (2018), proposes to replace or augment GDP with wealth-style aggregates. Empirically, however, the three main aggregates — SEEA, IWI, and CWON — disagree materially both with each other and with independently reconstructed perpetual-inventory stocks (Arrow et al., 2012; Dasgupta, 2021). The mainstream diagnosis blames measurement error and the treatment of natural capital. We show that a more mundane culprit — a mis-specified time-to-build and an omitted intangible share — explains a sizeable fraction of the discrepancy.</w:t>
      </w:r>
    </w:p>
    <w:p>
      <w:pPr>
        <w:spacing w:after="120" w:line="360" w:lineRule="auto"/>
        <w:ind w:firstLine="480"/>
      </w:pPr>
      <w:r>
        <w:rPr>
          <w:rFonts w:ascii="Times New Roman" w:hAnsi="Times New Roman" w:eastAsia="MS Mincho"/>
          <w:b/>
          <w:i w:val="0"/>
          <w:sz w:val="24"/>
        </w:rPr>
        <w:t>Tempo and forgotten parameters in demography.</w:t>
      </w:r>
      <w:r>
        <w:rPr>
          <w:rFonts w:ascii="Times New Roman" w:hAnsi="Times New Roman" w:eastAsia="MS Mincho"/>
          <w:b w:val="0"/>
          <w:i w:val="0"/>
          <w:sz w:val="24"/>
        </w:rPr>
        <w:t xml:space="preserve"> Bongaarts and Feeney (1998) introduced the adjustment </w:t>
      </w:r>
      <w:r>
        <w:rPr>
          <w:rFonts w:ascii="Times New Roman" w:hAnsi="Times New Roman" w:eastAsia="MS Mincho"/>
          <w:b w:val="0"/>
          <w:i/>
          <w:sz w:val="24"/>
        </w:rPr>
        <w:t>TFR</w:t>
      </w:r>
      <w:r>
        <w:rPr>
          <w:rFonts w:ascii="Times New Roman" w:hAnsi="Times New Roman" w:eastAsia="MS Mincho"/>
          <w:b w:val="0"/>
          <w:i/>
          <w:sz w:val="24"/>
        </w:rPr>
        <w:t xml:space="preserve"> = </w:t>
      </w:r>
      <w:r>
        <w:rPr>
          <w:rFonts w:ascii="Times New Roman" w:hAnsi="Times New Roman" w:eastAsia="MS Mincho"/>
          <w:b w:val="0"/>
          <w:i w:val="0"/>
          <w:sz w:val="24"/>
        </w:rPr>
        <w:t>TFR</w:t>
      </w:r>
      <w:r>
        <w:rPr>
          <w:rFonts w:ascii="Times New Roman" w:hAnsi="Times New Roman" w:eastAsia="MS Mincho"/>
          <w:b w:val="0"/>
          <w:i/>
          <w:sz w:val="24"/>
        </w:rPr>
        <w:t xml:space="preserve">/(1 − </w:t>
      </w:r>
      <w:r>
        <w:rPr>
          <w:rFonts w:ascii="Times New Roman" w:hAnsi="Times New Roman" w:eastAsia="MS Mincho"/>
          <w:b w:val="0"/>
          <w:i w:val="0"/>
          <w:sz w:val="24"/>
        </w:rPr>
        <w:t>r(t)</w:t>
      </w:r>
      <w:r>
        <w:rPr>
          <w:rFonts w:ascii="Times New Roman" w:hAnsi="Times New Roman" w:eastAsia="MS Mincho"/>
          <w:b w:val="0"/>
          <w:i/>
          <w:sz w:val="24"/>
        </w:rPr>
        <w:t xml:space="preserve">) where </w:t>
      </w:r>
      <w:r>
        <w:rPr>
          <w:rFonts w:ascii="Times New Roman" w:hAnsi="Times New Roman" w:eastAsia="MS Mincho"/>
          <w:b w:val="0"/>
          <w:i w:val="0"/>
          <w:sz w:val="24"/>
        </w:rPr>
        <w:t xml:space="preserve">r(t)* is the annual change in the mean age at childbearing. Goldstein, Lutz, and Scherbov (2003) showed that Bongaarts-Feeney was an upper bound unless a parity-specific "forgotten" variance </w:t>
      </w:r>
      <w:r>
        <w:rPr>
          <w:rFonts w:ascii="Times New Roman" w:hAnsi="Times New Roman" w:eastAsia="MS Mincho"/>
          <w:b w:val="0"/>
          <w:i/>
          <w:sz w:val="24"/>
        </w:rPr>
        <w:t>σ</w:t>
      </w:r>
      <w:r>
        <w:rPr>
          <w:rFonts w:ascii="Times New Roman" w:hAnsi="Times New Roman" w:eastAsia="MS Mincho"/>
          <w:b w:val="0"/>
          <w:i w:val="0"/>
          <w:sz w:val="24"/>
        </w:rPr>
        <w:t xml:space="preserve"> was re-introduced. Kohler, Billari, and Ortega (2002) and Bongaarts and Sobotka (2012) confirmed both findings across Europe. The structural lesson — that flow statistics of a stock process are contaminated by drift in the timing distribution, and that a single omitted quantity parameter restores consistency — is exactly the lesson we now transplant to the capital account.</w:t>
      </w:r>
    </w:p>
    <w:p>
      <w:pPr>
        <w:spacing w:after="120" w:line="360" w:lineRule="auto"/>
        <w:ind w:firstLine="480"/>
      </w:pPr>
      <w:r>
        <w:rPr>
          <w:rFonts w:ascii="Times New Roman" w:hAnsi="Times New Roman" w:eastAsia="MS Mincho"/>
          <w:b/>
          <w:i w:val="0"/>
          <w:sz w:val="24"/>
        </w:rPr>
        <w:t>Healthcare and human capital sustainability.</w:t>
      </w:r>
      <w:r>
        <w:rPr>
          <w:rFonts w:ascii="Times New Roman" w:hAnsi="Times New Roman" w:eastAsia="MS Mincho"/>
          <w:b w:val="0"/>
          <w:i w:val="0"/>
          <w:sz w:val="24"/>
        </w:rPr>
        <w:t xml:space="preserve"> A companion paper (in preparation) documents that the lag </w:t>
      </w:r>
      <w:r>
        <w:rPr>
          <w:rFonts w:ascii="Times New Roman" w:hAnsi="Times New Roman" w:eastAsia="MS Mincho"/>
          <w:b w:val="0"/>
          <w:i/>
          <w:sz w:val="24"/>
        </w:rPr>
        <w:t>μ</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from medical expenditure to life-expectancy outcomes has been rising by roughly 0.15 years per year since 2000, and that an analogous "forgotten" parameter </w:t>
      </w:r>
      <w:r>
        <w:rPr>
          <w:rFonts w:ascii="Times New Roman" w:hAnsi="Times New Roman" w:eastAsia="MS Mincho"/>
          <w:b w:val="0"/>
          <w:i/>
          <w:sz w:val="24"/>
        </w:rPr>
        <w:t>β</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 the share of expenditure directed to prevention and R&amp;D, as opposed to curative care — accounts for a further share of the US-Japan life-expectancy gap. That paper exploits exactly the same quantum-tempo decomposition developed here.</w:t>
      </w:r>
    </w:p>
    <w:p>
      <w:pPr>
        <w:spacing w:after="120" w:line="360" w:lineRule="auto"/>
        <w:ind w:firstLine="480"/>
      </w:pPr>
      <w:r>
        <w:rPr>
          <w:rFonts w:ascii="Times New Roman" w:hAnsi="Times New Roman" w:eastAsia="MS Mincho"/>
          <w:b/>
          <w:i w:val="0"/>
          <w:sz w:val="24"/>
        </w:rPr>
        <w:t>The gap this paper fills.</w:t>
      </w:r>
      <w:r>
        <w:rPr>
          <w:rFonts w:ascii="Times New Roman" w:hAnsi="Times New Roman" w:eastAsia="MS Mincho"/>
          <w:b w:val="0"/>
          <w:i w:val="0"/>
          <w:sz w:val="24"/>
        </w:rPr>
        <w:t xml:space="preserve"> The papers above individually treat (i) capital time-to-build, (ii) intangibles, (iii) wealth aggregates, and (iv) demographic tempo. To our knowledge, no prior work simultaneously (a) estimates a time-varying time-to-build, (b) recovers the CHS intangible share, and (c) disciplines both with a wealth-accounting identity. This paper does. A secondary contribution, often overlooked in the accounting literature but central to our methodology, is to treat the PIM and the wealth-stock equations as two equally informative windows onto the same latent process — exactly as demographers treat period and cohort data — rather than as competing aggregates whose disagreement is a nuisance to be absorbed into residuals.</w:t>
      </w:r>
    </w:p>
    <w:p>
      <w:pPr>
        <w:spacing w:before="360" w:after="120" w:line="360" w:lineRule="auto"/>
      </w:pPr>
      <w:r>
        <w:rPr>
          <w:rFonts w:ascii="Times New Roman" w:hAnsi="Times New Roman" w:eastAsia="MS Mincho"/>
          <w:b/>
          <w:i w:val="0"/>
          <w:sz w:val="28"/>
        </w:rPr>
        <w:t>3 Theory</w:t>
      </w:r>
    </w:p>
    <w:p>
      <w:pPr>
        <w:spacing w:before="360" w:after="120" w:line="360" w:lineRule="auto"/>
      </w:pPr>
      <w:r>
        <w:rPr>
          <w:rFonts w:ascii="Times New Roman" w:hAnsi="Times New Roman" w:eastAsia="MS Mincho"/>
          <w:b/>
          <w:i w:val="0"/>
          <w:sz w:val="24"/>
        </w:rPr>
        <w:t>3.1 Flow-side production function with tempo</w:t>
      </w:r>
    </w:p>
    <w:p>
      <w:pPr>
        <w:spacing w:after="120" w:line="360" w:lineRule="auto"/>
        <w:ind w:firstLine="480"/>
      </w:pPr>
      <w:r>
        <w:rPr>
          <w:rFonts w:ascii="Times New Roman" w:hAnsi="Times New Roman" w:eastAsia="MS Mincho"/>
          <w:b w:val="0"/>
          <w:i w:val="0"/>
          <w:sz w:val="24"/>
        </w:rPr>
        <w:t>The textbook production function treats investment as if it matures instantly:</w:t>
      </w:r>
    </w:p>
    <w:p>
      <w:pPr>
        <w:spacing w:before="240" w:after="240" w:line="360" w:lineRule="auto"/>
        <w:ind w:firstLine="0"/>
        <w:jc w:val="center"/>
        <w:tabs>
          <w:tab w:val="right" w:pos="9072" w:leader="none"/>
        </w:tabs>
      </w:pP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 xml:space="preserve">nstant(t)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K</w:t>
      </w:r>
      <w:r>
        <w:rPr>
          <w:rFonts w:ascii="Times New Roman" w:hAnsi="Times New Roman" w:eastAsia="MS Mincho"/>
          <w:b w:val="0"/>
          <w:i/>
          <w:sz w:val="24"/>
          <w:vertAlign w:val="subscript"/>
        </w:rPr>
        <w:t>i</w:t>
      </w:r>
      <w:r>
        <w:rPr>
          <w:rFonts w:ascii="Times New Roman" w:hAnsi="Times New Roman" w:eastAsia="MS Mincho"/>
          <w:b w:val="0"/>
          <w:i/>
          <w:sz w:val="24"/>
        </w:rPr>
        <w:t>nstant(t−1) + I</w:t>
      </w:r>
      <w:r>
        <w:rPr>
          <w:rFonts w:ascii="Times New Roman" w:hAnsi="Times New Roman" w:eastAsia="MS Mincho"/>
          <w:b w:val="0"/>
          <w:i/>
          <w:sz w:val="24"/>
          <w:vertAlign w:val="subscript"/>
        </w:rPr>
        <w:t>t-1</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(M0)</w:t>
      </w:r>
    </w:p>
    <w:p>
      <w:pPr>
        <w:spacing w:after="120" w:line="360" w:lineRule="auto"/>
        <w:ind w:firstLine="480"/>
      </w:pPr>
      <w:r>
        <w:rPr>
          <w:rFonts w:ascii="Times New Roman" w:hAnsi="Times New Roman" w:eastAsia="MS Mincho"/>
          <w:b w:val="0"/>
          <w:i w:val="0"/>
          <w:sz w:val="24"/>
        </w:rPr>
        <w:t>so the Solow (1957) residual aggregates all mis-specification into total factor productivity (TFP). Since Mayer (1960) and Kydland-Prescott (1982) it is well known that, in reality, investment accrues to the stock only after a lag. We write this as a distributed-lag perpetual inventory:</w:t>
      </w:r>
    </w:p>
    <w:p>
      <w:pPr>
        <w:spacing w:before="240" w:after="240" w:line="360" w:lineRule="auto"/>
        <w:ind w:firstLine="0"/>
        <w:jc w:val="center"/>
        <w:tabs>
          <w:tab w:val="right" w:pos="9072" w:leader="none"/>
        </w:tabs>
      </w:pPr>
      <w:r>
        <w:rPr>
          <w:rFonts w:ascii="Times New Roman" w:hAnsi="Times New Roman" w:eastAsia="MS Mincho"/>
          <w:b w:val="0"/>
          <w:i/>
          <w:sz w:val="24"/>
        </w:rPr>
        <w:t xml:space="preserve">K(t; </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xml:space="preserve">) K(t−1;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Σ</w:t>
      </w:r>
      <w:r>
        <w:rPr>
          <w:rFonts w:ascii="Times New Roman" w:hAnsi="Times New Roman" w:eastAsia="MS Mincho"/>
          <w:b w:val="0"/>
          <w:i/>
          <w:sz w:val="24"/>
        </w:rPr>
        <w:t>ₛ 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I</w:t>
      </w:r>
      <w:r>
        <w:rPr>
          <w:rFonts w:ascii="Times New Roman" w:hAnsi="Times New Roman" w:eastAsia="MS Mincho"/>
          <w:b w:val="0"/>
          <w:i/>
          <w:sz w:val="24"/>
          <w:vertAlign w:val="subscript"/>
        </w:rPr>
        <w:t>t-1-s</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(M1)</w:t>
      </w:r>
    </w:p>
    <w:p>
      <w:pPr>
        <w:spacing w:after="120" w:line="360" w:lineRule="auto"/>
        <w:ind w:firstLine="480"/>
      </w:pPr>
      <w:r>
        <w:rPr>
          <w:rFonts w:ascii="Times New Roman" w:hAnsi="Times New Roman" w:eastAsia="MS Mincho"/>
          <w:b w:val="0"/>
          <w:i w:val="0"/>
          <w:sz w:val="24"/>
        </w:rPr>
        <w:t xml:space="preserve">with geometric weights </w:t>
      </w:r>
      <w:r>
        <w:rPr>
          <w:rFonts w:ascii="Times New Roman" w:hAnsi="Times New Roman" w:eastAsia="MS Mincho"/>
          <w:b w:val="0"/>
          <w:i/>
          <w:sz w:val="24"/>
        </w:rPr>
        <w:t>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θ</w:t>
      </w:r>
      <w:r>
        <w:rPr>
          <w:rFonts w:ascii="Times New Roman" w:hAnsi="Times New Roman" w:eastAsia="MS Mincho"/>
          <w:b w:val="0"/>
          <w:i/>
          <w:sz w:val="24"/>
        </w:rPr>
        <w:t>)·</w:t>
      </w:r>
      <w:r>
        <w:rPr>
          <w:rFonts w:ascii="Times New Roman" w:hAnsi="Times New Roman" w:eastAsia="MS Mincho"/>
          <w:b w:val="0"/>
          <w:i/>
          <w:sz w:val="24"/>
        </w:rPr>
        <w:t>θ</w:t>
      </w:r>
      <w:r>
        <w:rPr>
          <w:rFonts w:ascii="Times New Roman" w:hAnsi="Times New Roman" w:eastAsia="MS Mincho"/>
          <w:b w:val="0"/>
          <w:i/>
          <w:sz w:val="24"/>
          <w:vertAlign w:val="superscript"/>
        </w:rPr>
        <w:t>s</w:t>
      </w:r>
      <w:r>
        <w:rPr>
          <w:rFonts w:ascii="Times New Roman" w:hAnsi="Times New Roman" w:eastAsia="MS Mincho"/>
          <w:b w:val="0"/>
          <w:i w:val="0"/>
          <w:sz w:val="24"/>
        </w:rPr>
        <w:t xml:space="preserve"> and </w:t>
      </w:r>
      <w:r>
        <w:rPr>
          <w:rFonts w:ascii="Times New Roman" w:hAnsi="Times New Roman" w:eastAsia="MS Mincho"/>
          <w:b w:val="0"/>
          <w:i/>
          <w:sz w:val="24"/>
        </w:rPr>
        <w:t>θ</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sz w:val="24"/>
        </w:rPr>
        <w:t>/(1+</w:t>
      </w:r>
      <w:r>
        <w:rPr>
          <w:rFonts w:ascii="Times New Roman" w:hAnsi="Times New Roman" w:eastAsia="MS Mincho"/>
          <w:b w:val="0"/>
          <w:i/>
          <w:sz w:val="24"/>
        </w:rPr>
        <w:t>μ</w:t>
      </w:r>
      <w:r>
        <w:rPr>
          <w:rFonts w:ascii="Times New Roman" w:hAnsi="Times New Roman" w:eastAsia="MS Mincho"/>
          <w:b w:val="0"/>
          <w:i/>
          <w:sz w:val="24"/>
        </w:rPr>
        <w:t>)</w:t>
      </w:r>
      <w:r>
        <w:rPr>
          <w:rFonts w:ascii="Times New Roman" w:hAnsi="Times New Roman" w:eastAsia="MS Mincho"/>
          <w:b w:val="0"/>
          <w:i w:val="0"/>
          <w:sz w:val="24"/>
        </w:rPr>
        <w:t xml:space="preserve">, so the mean lag is exactly </w:t>
      </w:r>
      <w:r>
        <w:rPr>
          <w:rFonts w:ascii="Times New Roman" w:hAnsi="Times New Roman" w:eastAsia="MS Mincho"/>
          <w:b w:val="0"/>
          <w:i/>
          <w:sz w:val="24"/>
        </w:rPr>
        <w:t>μ</w:t>
      </w:r>
      <w:r>
        <w:rPr>
          <w:rFonts w:ascii="Times New Roman" w:hAnsi="Times New Roman" w:eastAsia="MS Mincho"/>
          <w:b w:val="0"/>
          <w:i w:val="0"/>
          <w:sz w:val="24"/>
        </w:rPr>
        <w:t xml:space="preserve"> years. The key novelty relative to the existing lag literature is to allow </w:t>
      </w:r>
      <w:r>
        <w:rPr>
          <w:rFonts w:ascii="Times New Roman" w:hAnsi="Times New Roman" w:eastAsia="MS Mincho"/>
          <w:b w:val="0"/>
          <w:i/>
          <w:sz w:val="24"/>
        </w:rPr>
        <w:t>μ</w:t>
      </w:r>
      <w:r>
        <w:rPr>
          <w:rFonts w:ascii="Times New Roman" w:hAnsi="Times New Roman" w:eastAsia="MS Mincho"/>
          <w:b w:val="0"/>
          <w:i w:val="0"/>
          <w:sz w:val="24"/>
        </w:rPr>
        <w:t xml:space="preserve"> to drift linearly over time:</w:t>
      </w:r>
    </w:p>
    <w:p>
      <w:pPr>
        <w:spacing w:before="240" w:after="240" w:line="360" w:lineRule="auto"/>
        <w:ind w:firstLine="0"/>
        <w:jc w:val="center"/>
        <w:tabs>
          <w:tab w:val="right" w:pos="9072" w:leader="none"/>
        </w:tabs>
      </w:pPr>
      <w:r>
        <w:rPr>
          <w:rFonts w:ascii="Times New Roman" w:hAnsi="Times New Roman" w:eastAsia="MS Mincho"/>
          <w:b w:val="0"/>
          <w:i/>
          <w:sz w:val="24"/>
        </w:rPr>
        <w:t>μ</w:t>
      </w:r>
      <w:r>
        <w:rPr>
          <w:rFonts w:ascii="Times New Roman" w:hAnsi="Times New Roman" w:eastAsia="MS Mincho"/>
          <w:b w:val="0"/>
          <w:i/>
          <w:sz w:val="24"/>
        </w:rPr>
        <w:t xml:space="preserve">(t) = </w:t>
      </w:r>
      <w:r>
        <w:rPr>
          <w:rFonts w:ascii="Times New Roman" w:hAnsi="Times New Roman" w:eastAsia="MS Mincho"/>
          <w:b w:val="0"/>
          <w:i/>
          <w:sz w:val="24"/>
        </w:rPr>
        <w:t>μ</w:t>
      </w:r>
      <w:r>
        <w:rPr>
          <w:rFonts w:ascii="Times New Roman" w:hAnsi="Times New Roman" w:eastAsia="MS Mincho"/>
          <w:b w:val="0"/>
          <w:i/>
          <w:sz w:val="24"/>
        </w:rPr>
        <w:t xml:space="preserve">₀ + </w:t>
      </w:r>
      <w:r>
        <w:rPr>
          <w:rFonts w:ascii="Times New Roman" w:hAnsi="Times New Roman" w:eastAsia="MS Mincho"/>
          <w:b w:val="0"/>
          <w:i/>
          <w:sz w:val="24"/>
        </w:rPr>
        <w:t>μ</w:t>
      </w:r>
      <w:r>
        <w:rPr>
          <w:rFonts w:ascii="Times New Roman" w:hAnsi="Times New Roman" w:eastAsia="MS Mincho"/>
          <w:b w:val="0"/>
          <w:i/>
          <w:sz w:val="24"/>
        </w:rPr>
        <w:t>₁·(t − t₀),</w:t>
      </w:r>
      <w:r>
        <w:rPr>
          <w:rFonts w:ascii="Times New Roman" w:hAnsi="Times New Roman" w:eastAsia="MS Mincho"/>
          <w:b w:val="0"/>
          <w:i w:val="0"/>
          <w:sz w:val="24"/>
        </w:rPr>
        <w:tab/>
      </w:r>
      <w:r>
        <w:rPr>
          <w:rFonts w:ascii="Times New Roman" w:hAnsi="Times New Roman" w:eastAsia="MS Mincho"/>
          <w:b w:val="0"/>
          <w:i w:val="0"/>
          <w:sz w:val="24"/>
        </w:rPr>
        <w:t>(M2)</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μ</w:t>
      </w:r>
      <w:r>
        <w:rPr>
          <w:rFonts w:ascii="Times New Roman" w:hAnsi="Times New Roman" w:eastAsia="MS Mincho"/>
          <w:b w:val="0"/>
          <w:i w:val="0"/>
          <w:sz w:val="24"/>
        </w:rPr>
        <w:t xml:space="preserve">₁ captures the "tempo" in Bongaarts-Feeney's sense. A positive </w:t>
      </w:r>
      <w:r>
        <w:rPr>
          <w:rFonts w:ascii="Times New Roman" w:hAnsi="Times New Roman" w:eastAsia="MS Mincho"/>
          <w:b w:val="0"/>
          <w:i/>
          <w:sz w:val="24"/>
        </w:rPr>
        <w:t>μ</w:t>
      </w:r>
      <w:r>
        <w:rPr>
          <w:rFonts w:ascii="Times New Roman" w:hAnsi="Times New Roman" w:eastAsia="MS Mincho"/>
          <w:b w:val="0"/>
          <w:i w:val="0"/>
          <w:sz w:val="24"/>
        </w:rPr>
        <w:t xml:space="preserve">₁ indicates that typical projects are becoming longer-lived — for example because new investment is increasingly digital infrastructure, R&amp;D platforms, or complex systems that require multi-year assembly — and a negative </w:t>
      </w:r>
      <w:r>
        <w:rPr>
          <w:rFonts w:ascii="Times New Roman" w:hAnsi="Times New Roman" w:eastAsia="MS Mincho"/>
          <w:b w:val="0"/>
          <w:i/>
          <w:sz w:val="24"/>
        </w:rPr>
        <w:t>μ</w:t>
      </w:r>
      <w:r>
        <w:rPr>
          <w:rFonts w:ascii="Times New Roman" w:hAnsi="Times New Roman" w:eastAsia="MS Mincho"/>
          <w:b w:val="0"/>
          <w:i w:val="0"/>
          <w:sz w:val="24"/>
        </w:rPr>
        <w:t>₁ would indicate the opposite.</w:t>
      </w:r>
    </w:p>
    <w:p>
      <w:pPr>
        <w:spacing w:before="360" w:after="120" w:line="360" w:lineRule="auto"/>
      </w:pPr>
      <w:r>
        <w:rPr>
          <w:rFonts w:ascii="Times New Roman" w:hAnsi="Times New Roman" w:eastAsia="MS Mincho"/>
          <w:b/>
          <w:i w:val="0"/>
          <w:sz w:val="24"/>
        </w:rPr>
        <w:t>3.2 Stock-side intangibles: the forgotten β</w:t>
      </w:r>
    </w:p>
    <w:p>
      <w:pPr>
        <w:spacing w:after="120" w:line="360" w:lineRule="auto"/>
        <w:ind w:firstLine="480"/>
      </w:pPr>
      <w:r>
        <w:rPr>
          <w:rFonts w:ascii="Times New Roman" w:hAnsi="Times New Roman" w:eastAsia="MS Mincho"/>
          <w:b w:val="0"/>
          <w:i w:val="0"/>
          <w:sz w:val="24"/>
        </w:rPr>
        <w:t xml:space="preserve">Let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ang(t)</w:t>
      </w:r>
      <w:r>
        <w:rPr>
          <w:rFonts w:ascii="Times New Roman" w:hAnsi="Times New Roman" w:eastAsia="MS Mincho"/>
          <w:b w:val="0"/>
          <w:i w:val="0"/>
          <w:sz w:val="24"/>
        </w:rPr>
        <w:t xml:space="preserve"> be the tangible PIM stock from (M1)–(M2) and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be an intangible stock built from R&amp;D expenditure by a geometric PIM with depreciation </w:t>
      </w:r>
      <w:r>
        <w:rPr>
          <w:rFonts w:ascii="Times New Roman" w:hAnsi="Times New Roman" w:eastAsia="MS Mincho"/>
          <w:b w:val="0"/>
          <w:i/>
          <w:sz w:val="24"/>
        </w:rPr>
        <w:t>δ</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 0.15 (Corrado-Hulten-Sichel, 2009). A production function augmented by intangibles reads:</w:t>
      </w:r>
    </w:p>
    <w:p>
      <w:pPr>
        <w:spacing w:before="240" w:after="240" w:line="360" w:lineRule="auto"/>
        <w:ind w:firstLine="0"/>
        <w:jc w:val="center"/>
        <w:tabs>
          <w:tab w:val="right" w:pos="9072" w:leader="none"/>
        </w:tabs>
      </w:pPr>
      <w:r>
        <w:rPr>
          <w:rFonts w:ascii="Times New Roman" w:hAnsi="Times New Roman" w:eastAsia="MS Mincho"/>
          <w:b w:val="0"/>
          <w:i/>
          <w:sz w:val="24"/>
        </w:rPr>
        <w:t>log Y</w:t>
      </w:r>
      <w:r>
        <w:rPr>
          <w:rFonts w:ascii="Times New Roman" w:hAnsi="Times New Roman" w:eastAsia="MS Mincho"/>
          <w:b w:val="0"/>
          <w:i/>
          <w:sz w:val="24"/>
          <w:vertAlign w:val="subscript"/>
        </w:rPr>
        <w:t>t</w:t>
      </w:r>
      <w:r>
        <w:rPr>
          <w:rFonts w:ascii="Times New Roman" w:hAnsi="Times New Roman" w:eastAsia="MS Mincho"/>
          <w:b w:val="0"/>
          <w:i/>
          <w:sz w:val="24"/>
        </w:rPr>
        <w:t xml:space="preserve"> = </w:t>
      </w:r>
      <w:r>
        <w:rPr>
          <w:rFonts w:ascii="Times New Roman" w:hAnsi="Times New Roman" w:eastAsia="MS Mincho"/>
          <w:b w:val="0"/>
          <w:i/>
          <w:sz w:val="24"/>
        </w:rPr>
        <w:t>α</w:t>
      </w:r>
      <w:r>
        <w:rPr>
          <w:rFonts w:ascii="Times New Roman" w:hAnsi="Times New Roman" w:eastAsia="MS Mincho"/>
          <w:b w:val="0"/>
          <w:i/>
          <w:sz w:val="24"/>
        </w:rPr>
        <w:t xml:space="preserve"> log K</w:t>
      </w:r>
      <w:r>
        <w:rPr>
          <w:rFonts w:ascii="Times New Roman" w:hAnsi="Times New Roman" w:eastAsia="MS Mincho"/>
          <w:b w:val="0"/>
          <w:i/>
          <w:sz w:val="24"/>
          <w:vertAlign w:val="subscript"/>
        </w:rPr>
        <w:t>t</w:t>
      </w:r>
      <w:r>
        <w:rPr>
          <w:rFonts w:ascii="Times New Roman" w:hAnsi="Times New Roman" w:eastAsia="MS Mincho"/>
          <w:b w:val="0"/>
          <w:i/>
          <w:sz w:val="24"/>
        </w:rPr>
        <w:t xml:space="preserve">ang(t) + </w:t>
      </w:r>
      <w:r>
        <w:rPr>
          <w:rFonts w:ascii="Times New Roman" w:hAnsi="Times New Roman" w:eastAsia="MS Mincho"/>
          <w:b w:val="0"/>
          <w:i/>
          <w:sz w:val="24"/>
        </w:rPr>
        <w:t>β</w:t>
      </w:r>
      <w:r>
        <w:rPr>
          <w:rFonts w:ascii="Times New Roman" w:hAnsi="Times New Roman" w:eastAsia="MS Mincho"/>
          <w:b w:val="0"/>
          <w:i/>
          <w:sz w:val="24"/>
        </w:rPr>
        <w:t xml:space="preserve"> log K</w:t>
      </w:r>
      <w:r>
        <w:rPr>
          <w:rFonts w:ascii="Times New Roman" w:hAnsi="Times New Roman" w:eastAsia="MS Mincho"/>
          <w:b w:val="0"/>
          <w:i/>
          <w:sz w:val="24"/>
          <w:vertAlign w:val="subscript"/>
        </w:rPr>
        <w:t>I</w:t>
      </w:r>
      <w:r>
        <w:rPr>
          <w:rFonts w:ascii="Times New Roman" w:hAnsi="Times New Roman" w:eastAsia="MS Mincho"/>
          <w:b w:val="0"/>
          <w:i/>
          <w:sz w:val="24"/>
        </w:rPr>
        <w:t xml:space="preserve">(t) + (1 − </w:t>
      </w:r>
      <w:r>
        <w:rPr>
          <w:rFonts w:ascii="Times New Roman" w:hAnsi="Times New Roman" w:eastAsia="MS Mincho"/>
          <w:b w:val="0"/>
          <w:i/>
          <w:sz w:val="24"/>
        </w:rPr>
        <w:t>α</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log L</w:t>
      </w:r>
      <w:r>
        <w:rPr>
          <w:rFonts w:ascii="Times New Roman" w:hAnsi="Times New Roman" w:eastAsia="MS Mincho"/>
          <w:b w:val="0"/>
          <w:i/>
          <w:sz w:val="24"/>
          <w:vertAlign w:val="subscript"/>
        </w:rPr>
        <w:t>t</w:t>
      </w:r>
      <w:r>
        <w:rPr>
          <w:rFonts w:ascii="Times New Roman" w:hAnsi="Times New Roman" w:eastAsia="MS Mincho"/>
          <w:b w:val="0"/>
          <w:i/>
          <w:sz w:val="24"/>
        </w:rPr>
        <w:t xml:space="preserve"> + log A</w:t>
      </w:r>
      <w:r>
        <w:rPr>
          <w:rFonts w:ascii="Times New Roman" w:hAnsi="Times New Roman" w:eastAsia="MS Mincho"/>
          <w:b w:val="0"/>
          <w:i/>
          <w:sz w:val="24"/>
          <w:vertAlign w:val="subscript"/>
        </w:rPr>
        <w:t>t</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(M3)</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β</w:t>
      </w:r>
      <w:r>
        <w:rPr>
          <w:rFonts w:ascii="Times New Roman" w:hAnsi="Times New Roman" w:eastAsia="MS Mincho"/>
          <w:b w:val="0"/>
          <w:i w:val="0"/>
          <w:sz w:val="24"/>
        </w:rPr>
        <w:t xml:space="preserve"> is the intangible share. Standard practice imposes </w:t>
      </w:r>
      <w:r>
        <w:rPr>
          <w:rFonts w:ascii="Times New Roman" w:hAnsi="Times New Roman" w:eastAsia="MS Mincho"/>
          <w:b w:val="0"/>
          <w:i/>
          <w:sz w:val="24"/>
        </w:rPr>
        <w:t>β</w:t>
      </w:r>
      <w:r>
        <w:rPr>
          <w:rFonts w:ascii="Times New Roman" w:hAnsi="Times New Roman" w:eastAsia="MS Mincho"/>
          <w:b w:val="0"/>
          <w:i w:val="0"/>
          <w:sz w:val="24"/>
        </w:rPr>
        <w:t xml:space="preserve"> = 0 (Solow; also M0 and M1 here). Estimating </w:t>
      </w:r>
      <w:r>
        <w:rPr>
          <w:rFonts w:ascii="Times New Roman" w:hAnsi="Times New Roman" w:eastAsia="MS Mincho"/>
          <w:b w:val="0"/>
          <w:i/>
          <w:sz w:val="24"/>
        </w:rPr>
        <w:t>β</w:t>
      </w:r>
      <w:r>
        <w:rPr>
          <w:rFonts w:ascii="Times New Roman" w:hAnsi="Times New Roman" w:eastAsia="MS Mincho"/>
          <w:b w:val="0"/>
          <w:i w:val="0"/>
          <w:sz w:val="24"/>
        </w:rPr>
        <w:t xml:space="preserve"> &gt; 0 is the capital-accounting analogue of re-introducing the parity-specific variance </w:t>
      </w:r>
      <w:r>
        <w:rPr>
          <w:rFonts w:ascii="Times New Roman" w:hAnsi="Times New Roman" w:eastAsia="MS Mincho"/>
          <w:b w:val="0"/>
          <w:i/>
          <w:sz w:val="24"/>
        </w:rPr>
        <w:t>σ</w:t>
      </w:r>
      <w:r>
        <w:rPr>
          <w:rFonts w:ascii="Times New Roman" w:hAnsi="Times New Roman" w:eastAsia="MS Mincho"/>
          <w:b w:val="0"/>
          <w:i w:val="0"/>
          <w:sz w:val="24"/>
        </w:rPr>
        <w:t xml:space="preserve"> in Goldstein-Lutz-Scherbov.</w:t>
      </w:r>
    </w:p>
    <w:p>
      <w:pPr>
        <w:spacing w:before="360" w:after="120" w:line="360" w:lineRule="auto"/>
      </w:pPr>
      <w:r>
        <w:rPr>
          <w:rFonts w:ascii="Times New Roman" w:hAnsi="Times New Roman" w:eastAsia="MS Mincho"/>
          <w:b/>
          <w:i w:val="0"/>
          <w:sz w:val="24"/>
        </w:rPr>
        <w:t>3.3 Unifying identity: the flow-stock joint loss</w:t>
      </w:r>
    </w:p>
    <w:p>
      <w:pPr>
        <w:spacing w:after="120" w:line="360" w:lineRule="auto"/>
        <w:ind w:firstLine="480"/>
      </w:pPr>
      <w:r>
        <w:rPr>
          <w:rFonts w:ascii="Times New Roman" w:hAnsi="Times New Roman" w:eastAsia="MS Mincho"/>
          <w:b w:val="0"/>
          <w:i w:val="0"/>
          <w:sz w:val="24"/>
        </w:rPr>
        <w:t xml:space="preserve">Any consistent national wealth aggregate </w:t>
      </w:r>
      <w:r>
        <w:rPr>
          <w:rFonts w:ascii="Times New Roman" w:hAnsi="Times New Roman" w:eastAsia="MS Mincho"/>
          <w:b w:val="0"/>
          <w:i/>
          <w:sz w:val="24"/>
        </w:rPr>
        <w:t>W(t)</w:t>
      </w:r>
      <w:r>
        <w:rPr>
          <w:rFonts w:ascii="Times New Roman" w:hAnsi="Times New Roman" w:eastAsia="MS Mincho"/>
          <w:b w:val="0"/>
          <w:i w:val="0"/>
          <w:sz w:val="24"/>
        </w:rPr>
        <w:t xml:space="preserve"> must satisfy the book-keeping identity</w:t>
      </w:r>
    </w:p>
    <w:p>
      <w:pPr>
        <w:spacing w:before="240" w:after="240" w:line="360" w:lineRule="auto"/>
        <w:ind w:firstLine="0"/>
        <w:jc w:val="center"/>
        <w:tabs>
          <w:tab w:val="right" w:pos="9072" w:leader="none"/>
        </w:tabs>
      </w:pPr>
      <w:r>
        <w:rPr>
          <w:rFonts w:ascii="Times New Roman" w:hAnsi="Times New Roman" w:eastAsia="MS Mincho"/>
          <w:b w:val="0"/>
          <w:i/>
          <w:sz w:val="24"/>
        </w:rPr>
        <w:t xml:space="preserve">dW/dt = S(Y) −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sz w:val="24"/>
        </w:rPr>
        <w:t xml:space="preserve"> · W,</w:t>
      </w:r>
      <w:r>
        <w:rPr>
          <w:rFonts w:ascii="Times New Roman" w:hAnsi="Times New Roman" w:eastAsia="MS Mincho"/>
          <w:b w:val="0"/>
          <w:i w:val="0"/>
          <w:sz w:val="24"/>
        </w:rPr>
        <w:tab/>
      </w:r>
      <w:r>
        <w:rPr>
          <w:rFonts w:ascii="Times New Roman" w:hAnsi="Times New Roman" w:eastAsia="MS Mincho"/>
          <w:b w:val="0"/>
          <w:i w:val="0"/>
          <w:sz w:val="24"/>
        </w:rPr>
        <w:t>(1)</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S(Y)</w:t>
      </w:r>
      <w:r>
        <w:rPr>
          <w:rFonts w:ascii="Times New Roman" w:hAnsi="Times New Roman" w:eastAsia="MS Mincho"/>
          <w:b w:val="0"/>
          <w:i w:val="0"/>
          <w:sz w:val="24"/>
        </w:rPr>
        <w:t xml:space="preserve"> is gross saving and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val="0"/>
          <w:sz w:val="24"/>
        </w:rPr>
        <w:t xml:space="preserve"> is the aggregate depreciation rate. Under (1), the same parameters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that govern the production side should also govern the reproducible-capital trajectory implied by the wealth account. We therefore define a single joint loss:</w:t>
      </w:r>
    </w:p>
    <w:p>
      <w:pPr>
        <w:spacing w:before="240" w:after="240" w:line="360" w:lineRule="auto"/>
        <w:ind w:firstLine="0"/>
        <w:jc w:val="center"/>
        <w:tabs>
          <w:tab w:val="right" w:pos="9072" w:leader="none"/>
        </w:tabs>
      </w:pPr>
      <w:r>
        <w:rPr>
          <w:rFonts w:ascii="Times New Roman" w:hAnsi="Times New Roman" w:eastAsia="MS Mincho"/>
          <w:b w:val="0"/>
          <w:i/>
          <w:sz w:val="24"/>
        </w:rPr>
        <w:t>L</w:t>
      </w:r>
      <w:r>
        <w:rPr>
          <w:rFonts w:ascii="Times New Roman" w:hAnsi="Times New Roman" w:eastAsia="MS Mincho"/>
          <w:b w:val="0"/>
          <w:i/>
          <w:sz w:val="24"/>
          <w:vertAlign w:val="subscript"/>
        </w:rPr>
        <w:t>t</w:t>
      </w:r>
      <w:r>
        <w:rPr>
          <w:rFonts w:ascii="Times New Roman" w:hAnsi="Times New Roman" w:eastAsia="MS Mincho"/>
          <w:b w:val="0"/>
          <w:i/>
          <w:sz w:val="24"/>
        </w:rPr>
        <w:t>otal(</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 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xml:space="preserve">) + </w:t>
      </w:r>
      <w:r>
        <w:rPr>
          <w:rFonts w:ascii="Times New Roman" w:hAnsi="Times New Roman" w:eastAsia="MS Mincho"/>
          <w:b w:val="0"/>
          <w:i/>
          <w:sz w:val="24"/>
        </w:rPr>
        <w:t>λ</w:t>
      </w:r>
      <w:r>
        <w:rPr>
          <w:rFonts w:ascii="Times New Roman" w:hAnsi="Times New Roman" w:eastAsia="MS Mincho"/>
          <w:b w:val="0"/>
          <w:i/>
          <w:sz w:val="24"/>
        </w:rPr>
        <w:t xml:space="preserve"> · 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(2)</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val="0"/>
          <w:sz w:val="24"/>
        </w:rPr>
        <w:t xml:space="preserve"> is the growth-rate residual from the production function (M3) and </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is the within-country trajectory RMSE between the PIM stock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xml:space="preserve">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and the CWON produced-capital series NW.PCA.TO(t). Minimising (2) delivers the "M4 joint" estimates (</w:t>
      </w:r>
      <w:r>
        <w:rPr>
          <w:rFonts w:ascii="Times New Roman" w:hAnsi="Times New Roman" w:eastAsia="MS Mincho"/>
          <w:b w:val="0"/>
          <w:i/>
          <w:sz w:val="24"/>
        </w:rPr>
        <w:t>μ</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w:t>
      </w:r>
      <w:r>
        <w:rPr>
          <w:rFonts w:ascii="Times New Roman" w:hAnsi="Times New Roman" w:eastAsia="MS Mincho"/>
          <w:b w:val="0"/>
          <w:i/>
          <w:sz w:val="24"/>
        </w:rPr>
        <w:t>β</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used below; setting </w:t>
      </w:r>
      <w:r>
        <w:rPr>
          <w:rFonts w:ascii="Times New Roman" w:hAnsi="Times New Roman" w:eastAsia="MS Mincho"/>
          <w:b w:val="0"/>
          <w:i/>
          <w:sz w:val="24"/>
        </w:rPr>
        <w:t>λ</w:t>
      </w:r>
      <w:r>
        <w:rPr>
          <w:rFonts w:ascii="Times New Roman" w:hAnsi="Times New Roman" w:eastAsia="MS Mincho"/>
          <w:b w:val="0"/>
          <w:i w:val="0"/>
          <w:sz w:val="24"/>
        </w:rPr>
        <w:t xml:space="preserve"> = 0 recovers production-only estimates.</w:t>
      </w:r>
    </w:p>
    <w:p>
      <w:pPr>
        <w:spacing w:before="360" w:after="120" w:line="360" w:lineRule="auto"/>
      </w:pPr>
      <w:r>
        <w:rPr>
          <w:rFonts w:ascii="Times New Roman" w:hAnsi="Times New Roman" w:eastAsia="MS Mincho"/>
          <w:b/>
          <w:i w:val="0"/>
          <w:sz w:val="24"/>
        </w:rPr>
        <w:t>3.4 Quantum–tempo correspondence between population and capital</w:t>
      </w:r>
    </w:p>
    <w:p>
      <w:pPr>
        <w:spacing w:after="120" w:line="360" w:lineRule="auto"/>
        <w:ind w:firstLine="480"/>
      </w:pPr>
      <w:r>
        <w:rPr>
          <w:rFonts w:ascii="Times New Roman" w:hAnsi="Times New Roman" w:eastAsia="MS Mincho"/>
          <w:b w:val="0"/>
          <w:i w:val="0"/>
          <w:sz w:val="24"/>
        </w:rPr>
        <w:t xml:space="preserve">Table 2 lays out the one-to-one mapping between the demographic variables that Bongaarts-Feeney-Goldstein-Lutz-Scherbov analysed and the capital-accounting variables we analyse. Every demographic entity has a capital entity with the same role in the book-keeping identity and in the quantum-tempo decomposition. This is more than mnemonic: it implies that the statistical tools used to identify </w:t>
      </w:r>
      <w:r>
        <w:rPr>
          <w:rFonts w:ascii="Times New Roman" w:hAnsi="Times New Roman" w:eastAsia="MS Mincho"/>
          <w:b w:val="0"/>
          <w:i/>
          <w:sz w:val="24"/>
        </w:rPr>
        <w:t>σ</w:t>
      </w:r>
      <w:r>
        <w:rPr>
          <w:rFonts w:ascii="Times New Roman" w:hAnsi="Times New Roman" w:eastAsia="MS Mincho"/>
          <w:b w:val="0"/>
          <w:i w:val="0"/>
          <w:sz w:val="24"/>
        </w:rPr>
        <w:t xml:space="preserve"> from fertility tempo (cohort-consistency tests, Brass relational models) have direct analogues in capital accounting, which we exploit.</w:t>
      </w:r>
    </w:p>
    <w:p>
      <w:pPr>
        <w:spacing w:before="360" w:after="120" w:line="360" w:lineRule="auto"/>
      </w:pPr>
      <w:r>
        <w:rPr>
          <w:rFonts w:ascii="Times New Roman" w:hAnsi="Times New Roman" w:eastAsia="MS Mincho"/>
          <w:b/>
          <w:i w:val="0"/>
          <w:sz w:val="24"/>
        </w:rPr>
        <w:t>3.5 Relational PIM: a Brass model for capital accounting</w:t>
      </w:r>
    </w:p>
    <w:p>
      <w:pPr>
        <w:spacing w:after="120" w:line="360" w:lineRule="auto"/>
        <w:ind w:firstLine="480"/>
      </w:pPr>
      <w:r>
        <w:rPr>
          <w:rFonts w:ascii="Times New Roman" w:hAnsi="Times New Roman" w:eastAsia="MS Mincho"/>
          <w:b w:val="0"/>
          <w:i w:val="0"/>
          <w:sz w:val="24"/>
        </w:rPr>
        <w:t xml:space="preserve">Demography has long employed Brass relational models to compare an observed fertility or mortality schedule against a "standard" schedule via a small number of parameters that capture systematic deviations (Brass, 1971). We transplant this idea to capital accounting. Let </w:t>
      </w:r>
      <w:r>
        <w:rPr>
          <w:rFonts w:ascii="Times New Roman" w:hAnsi="Times New Roman" w:eastAsia="MS Mincho"/>
          <w:b w:val="0"/>
          <w:i/>
          <w:sz w:val="24"/>
        </w:rPr>
        <w:t>K</w:t>
      </w:r>
      <w:r>
        <w:rPr>
          <w:rFonts w:ascii="Times New Roman" w:hAnsi="Times New Roman" w:eastAsia="MS Mincho"/>
          <w:b w:val="0"/>
          <w:i/>
          <w:sz w:val="24"/>
          <w:vertAlign w:val="subscript"/>
        </w:rPr>
        <w:t>P</w:t>
      </w:r>
      <w:r>
        <w:rPr>
          <w:rFonts w:ascii="Times New Roman" w:hAnsi="Times New Roman" w:eastAsia="MS Mincho"/>
          <w:b w:val="0"/>
          <w:i/>
          <w:sz w:val="24"/>
        </w:rPr>
        <w:t>IM(t)</w:t>
      </w:r>
      <w:r>
        <w:rPr>
          <w:rFonts w:ascii="Times New Roman" w:hAnsi="Times New Roman" w:eastAsia="MS Mincho"/>
          <w:b w:val="0"/>
          <w:i w:val="0"/>
          <w:sz w:val="24"/>
        </w:rPr>
        <w:t xml:space="preserve"> denote the PIM-constructed stock under any of M0–M4, and let </w:t>
      </w:r>
      <w:r>
        <w:rPr>
          <w:rFonts w:ascii="Times New Roman" w:hAnsi="Times New Roman" w:eastAsia="MS Mincho"/>
          <w:b w:val="0"/>
          <w:i/>
          <w:sz w:val="24"/>
        </w:rPr>
        <w:t>K</w:t>
      </w:r>
      <w:r>
        <w:rPr>
          <w:rFonts w:ascii="Times New Roman" w:hAnsi="Times New Roman" w:eastAsia="MS Mincho"/>
          <w:b w:val="0"/>
          <w:i/>
          <w:sz w:val="24"/>
          <w:vertAlign w:val="subscript"/>
        </w:rPr>
        <w:t>C</w:t>
      </w:r>
      <w:r>
        <w:rPr>
          <w:rFonts w:ascii="Times New Roman" w:hAnsi="Times New Roman" w:eastAsia="MS Mincho"/>
          <w:b w:val="0"/>
          <w:i/>
          <w:sz w:val="24"/>
        </w:rPr>
        <w:t>WON(t)</w:t>
      </w:r>
      <w:r>
        <w:rPr>
          <w:rFonts w:ascii="Times New Roman" w:hAnsi="Times New Roman" w:eastAsia="MS Mincho"/>
          <w:b w:val="0"/>
          <w:i w:val="0"/>
          <w:sz w:val="24"/>
        </w:rPr>
        <w:t xml:space="preserve"> denote CWON produced capital NW.PCA.TO. We define the </w:t>
      </w:r>
      <w:r>
        <w:rPr>
          <w:rFonts w:ascii="Times New Roman" w:hAnsi="Times New Roman" w:eastAsia="MS Mincho"/>
          <w:b/>
          <w:i w:val="0"/>
          <w:sz w:val="24"/>
        </w:rPr>
        <w:t>Relational PIM</w:t>
      </w:r>
      <w:r>
        <w:rPr>
          <w:rFonts w:ascii="Times New Roman" w:hAnsi="Times New Roman" w:eastAsia="MS Mincho"/>
          <w:b w:val="0"/>
          <w:i w:val="0"/>
          <w:sz w:val="24"/>
        </w:rPr>
        <w:t xml:space="preserve"> (RPIM) as:</w:t>
      </w:r>
    </w:p>
    <w:p>
      <w:pPr>
        <w:spacing w:before="240" w:after="240" w:line="360" w:lineRule="auto"/>
        <w:ind w:firstLine="0"/>
        <w:jc w:val="center"/>
        <w:tabs>
          <w:tab w:val="right" w:pos="9072" w:leader="none"/>
        </w:tabs>
      </w:pPr>
      <w:r>
        <w:rPr>
          <w:rFonts w:ascii="Times New Roman" w:hAnsi="Times New Roman" w:eastAsia="MS Mincho"/>
          <w:b w:val="0"/>
          <w:i/>
          <w:sz w:val="24"/>
        </w:rPr>
        <w:t>log K</w:t>
      </w:r>
      <w:r>
        <w:rPr>
          <w:rFonts w:ascii="Times New Roman" w:hAnsi="Times New Roman" w:eastAsia="MS Mincho"/>
          <w:b w:val="0"/>
          <w:i/>
          <w:sz w:val="24"/>
          <w:vertAlign w:val="subscript"/>
        </w:rPr>
        <w:t>P</w:t>
      </w:r>
      <w:r>
        <w:rPr>
          <w:rFonts w:ascii="Times New Roman" w:hAnsi="Times New Roman" w:eastAsia="MS Mincho"/>
          <w:b w:val="0"/>
          <w:i/>
          <w:sz w:val="24"/>
        </w:rPr>
        <w:t xml:space="preserve">IM(t) = </w:t>
      </w:r>
      <w:r>
        <w:rPr>
          <w:rFonts w:ascii="Times New Roman" w:hAnsi="Times New Roman" w:eastAsia="MS Mincho"/>
          <w:b w:val="0"/>
          <w:i/>
          <w:sz w:val="24"/>
        </w:rPr>
        <w:t>ρ</w:t>
      </w:r>
      <w:r>
        <w:rPr>
          <w:rFonts w:ascii="Times New Roman" w:hAnsi="Times New Roman" w:eastAsia="MS Mincho"/>
          <w:b w:val="0"/>
          <w:i/>
          <w:sz w:val="24"/>
        </w:rPr>
        <w:t xml:space="preserve">₁ + </w:t>
      </w:r>
      <w:r>
        <w:rPr>
          <w:rFonts w:ascii="Times New Roman" w:hAnsi="Times New Roman" w:eastAsia="MS Mincho"/>
          <w:b w:val="0"/>
          <w:i/>
          <w:sz w:val="24"/>
        </w:rPr>
        <w:t>ρ</w:t>
      </w:r>
      <w:r>
        <w:rPr>
          <w:rFonts w:ascii="Times New Roman" w:hAnsi="Times New Roman" w:eastAsia="MS Mincho"/>
          <w:b w:val="0"/>
          <w:i/>
          <w:sz w:val="24"/>
        </w:rPr>
        <w:t>₂ · log K</w:t>
      </w:r>
      <w:r>
        <w:rPr>
          <w:rFonts w:ascii="Times New Roman" w:hAnsi="Times New Roman" w:eastAsia="MS Mincho"/>
          <w:b w:val="0"/>
          <w:i/>
          <w:sz w:val="24"/>
          <w:vertAlign w:val="subscript"/>
        </w:rPr>
        <w:t>C</w:t>
      </w:r>
      <w:r>
        <w:rPr>
          <w:rFonts w:ascii="Times New Roman" w:hAnsi="Times New Roman" w:eastAsia="MS Mincho"/>
          <w:b w:val="0"/>
          <w:i/>
          <w:sz w:val="24"/>
        </w:rPr>
        <w:t xml:space="preserve">WON(t) + </w:t>
      </w:r>
      <w:r>
        <w:rPr>
          <w:rFonts w:ascii="Times New Roman" w:hAnsi="Times New Roman" w:eastAsia="MS Mincho"/>
          <w:b w:val="0"/>
          <w:i/>
          <w:sz w:val="24"/>
        </w:rPr>
        <w:t>ε</w:t>
      </w:r>
      <w:r>
        <w:rPr>
          <w:rFonts w:ascii="Times New Roman" w:hAnsi="Times New Roman" w:eastAsia="MS Mincho"/>
          <w:b w:val="0"/>
          <w:i/>
          <w:sz w:val="24"/>
        </w:rPr>
        <w:t>(t),</w:t>
      </w:r>
      <w:r>
        <w:rPr>
          <w:rFonts w:ascii="Times New Roman" w:hAnsi="Times New Roman" w:eastAsia="MS Mincho"/>
          <w:b w:val="0"/>
          <w:i w:val="0"/>
          <w:sz w:val="24"/>
        </w:rPr>
        <w:tab/>
      </w:r>
      <w:r>
        <w:rPr>
          <w:rFonts w:ascii="Times New Roman" w:hAnsi="Times New Roman" w:eastAsia="MS Mincho"/>
          <w:b w:val="0"/>
          <w:i w:val="0"/>
          <w:sz w:val="24"/>
        </w:rPr>
        <w:t>(M5)</w:t>
      </w:r>
    </w:p>
    <w:p>
      <w:pPr>
        <w:spacing w:after="120" w:line="360" w:lineRule="auto"/>
        <w:ind w:firstLine="480"/>
      </w:pPr>
      <w:r>
        <w:rPr>
          <w:rFonts w:ascii="Times New Roman" w:hAnsi="Times New Roman" w:eastAsia="MS Mincho"/>
          <w:b w:val="0"/>
          <w:i w:val="0"/>
          <w:sz w:val="24"/>
        </w:rPr>
        <w:t>where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₂) are the relational parameters estimated by OLS on the overlapping years where both series are observed and positive. The interpretation is direct: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 xml:space="preserve">₂ = 1 and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 the PIM and CWON accounts are perfectly consistent — they measure the same latent stock up to a white-noise error.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₂ ≠ 1</w:t>
      </w:r>
      <w:r>
        <w:rPr>
          <w:rFonts w:ascii="Times New Roman" w:hAnsi="Times New Roman" w:eastAsia="MS Mincho"/>
          <w:b w:val="0"/>
          <w:i w:val="0"/>
          <w:sz w:val="24"/>
        </w:rPr>
        <w:t xml:space="preserve">: there is a cumulative (scale-dependent) bias in the PIM relative to CWON. If </w:t>
      </w:r>
      <w:r>
        <w:rPr>
          <w:rFonts w:ascii="Times New Roman" w:hAnsi="Times New Roman" w:eastAsia="MS Mincho"/>
          <w:b w:val="0"/>
          <w:i/>
          <w:sz w:val="24"/>
        </w:rPr>
        <w:t>ρ</w:t>
      </w:r>
      <w:r>
        <w:rPr>
          <w:rFonts w:ascii="Times New Roman" w:hAnsi="Times New Roman" w:eastAsia="MS Mincho"/>
          <w:b w:val="0"/>
          <w:i w:val="0"/>
          <w:sz w:val="24"/>
        </w:rPr>
        <w:t xml:space="preserve">₂ &lt; 1, the PIM understates the growth of capital relative to CWON; if </w:t>
      </w:r>
      <w:r>
        <w:rPr>
          <w:rFonts w:ascii="Times New Roman" w:hAnsi="Times New Roman" w:eastAsia="MS Mincho"/>
          <w:b w:val="0"/>
          <w:i/>
          <w:sz w:val="24"/>
        </w:rPr>
        <w:t>ρ</w:t>
      </w:r>
      <w:r>
        <w:rPr>
          <w:rFonts w:ascii="Times New Roman" w:hAnsi="Times New Roman" w:eastAsia="MS Mincho"/>
          <w:b w:val="0"/>
          <w:i w:val="0"/>
          <w:sz w:val="24"/>
        </w:rPr>
        <w:t>₂ &gt; 1, it overstates it.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 there is a level shift between the two accounts, capturing differences in base-year calibration, PPP conversions, or asset coverage.</w:t>
      </w:r>
    </w:p>
    <w:p>
      <w:pPr>
        <w:spacing w:after="120" w:line="360" w:lineRule="auto"/>
        <w:ind w:firstLine="480"/>
      </w:pPr>
      <w:r>
        <w:rPr>
          <w:rFonts w:ascii="Times New Roman" w:hAnsi="Times New Roman" w:eastAsia="MS Mincho"/>
          <w:b w:val="0"/>
          <w:i w:val="0"/>
          <w:sz w:val="24"/>
        </w:rPr>
        <w:t xml:space="preserve">The novelty is threefold. First, to our knowledge no prior work has applied the Brass relational-model framework to capital accounting. Second, the RPIM does not treat CWON as "truth" — it parameterises the </w:t>
      </w:r>
      <w:r>
        <w:rPr>
          <w:rFonts w:ascii="Times New Roman" w:hAnsi="Times New Roman" w:eastAsia="MS Mincho"/>
          <w:b w:val="0"/>
          <w:i/>
          <w:sz w:val="24"/>
        </w:rPr>
        <w:t>relationship</w:t>
      </w:r>
      <w:r>
        <w:rPr>
          <w:rFonts w:ascii="Times New Roman" w:hAnsi="Times New Roman" w:eastAsia="MS Mincho"/>
          <w:b w:val="0"/>
          <w:i w:val="0"/>
          <w:sz w:val="24"/>
        </w:rPr>
        <w:t xml:space="preserve"> between two independent estimates of the same latent stock, making systematic biases visible and quantifiable. Third, the diagnostic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 xml:space="preserve">₂) can be computed under each model specification (M0 through M4), so improvement in </w:t>
      </w:r>
      <w:r>
        <w:rPr>
          <w:rFonts w:ascii="Times New Roman" w:hAnsi="Times New Roman" w:eastAsia="MS Mincho"/>
          <w:b w:val="0"/>
          <w:i/>
          <w:sz w:val="24"/>
        </w:rPr>
        <w:t>ρ</w:t>
      </w:r>
      <w:r>
        <w:rPr>
          <w:rFonts w:ascii="Times New Roman" w:hAnsi="Times New Roman" w:eastAsia="MS Mincho"/>
          <w:b w:val="0"/>
          <w:i w:val="0"/>
          <w:sz w:val="24"/>
        </w:rPr>
        <w:t>₂ toward unity serves as an independent check on whether the tempo and intangible corrections actually bring the two accounts closer together.</w:t>
      </w:r>
    </w:p>
    <w:p>
      <w:pPr>
        <w:spacing w:before="360" w:after="120" w:line="360" w:lineRule="auto"/>
      </w:pPr>
      <w:r>
        <w:rPr>
          <w:rFonts w:ascii="Times New Roman" w:hAnsi="Times New Roman" w:eastAsia="MS Mincho"/>
          <w:b/>
          <w:i w:val="0"/>
          <w:sz w:val="28"/>
        </w:rPr>
        <w:t>4 Data and methods</w:t>
      </w:r>
    </w:p>
    <w:p>
      <w:pPr>
        <w:spacing w:before="360" w:after="120" w:line="360" w:lineRule="auto"/>
      </w:pPr>
      <w:r>
        <w:rPr>
          <w:rFonts w:ascii="Times New Roman" w:hAnsi="Times New Roman" w:eastAsia="MS Mincho"/>
          <w:b/>
          <w:i w:val="0"/>
          <w:sz w:val="24"/>
        </w:rPr>
        <w:t>4.1 Data</w:t>
      </w:r>
    </w:p>
    <w:p>
      <w:pPr>
        <w:spacing w:after="120" w:line="360" w:lineRule="auto"/>
        <w:ind w:firstLine="480"/>
      </w:pPr>
      <w:r>
        <w:rPr>
          <w:rFonts w:ascii="Times New Roman" w:hAnsi="Times New Roman" w:eastAsia="MS Mincho"/>
          <w:b w:val="0"/>
          <w:i w:val="0"/>
          <w:sz w:val="24"/>
        </w:rPr>
        <w:t xml:space="preserve">We use </w:t>
      </w:r>
      <w:r>
        <w:rPr>
          <w:rFonts w:ascii="Times New Roman" w:hAnsi="Times New Roman" w:eastAsia="MS Mincho"/>
          <w:b/>
          <w:i w:val="0"/>
          <w:sz w:val="24"/>
        </w:rPr>
        <w:t>Penn World Table 10.01</w:t>
      </w:r>
      <w:r>
        <w:rPr>
          <w:rFonts w:ascii="Times New Roman" w:hAnsi="Times New Roman" w:eastAsia="MS Mincho"/>
          <w:b w:val="0"/>
          <w:i w:val="0"/>
          <w:sz w:val="24"/>
        </w:rPr>
        <w:t xml:space="preserve"> (Feenstra, Inklaar, and Timmer, 2015) for real GDP output (</w:t>
      </w:r>
      <w:r>
        <w:rPr>
          <w:rFonts w:ascii="Times New Roman" w:hAnsi="Times New Roman" w:eastAsia="MS Mincho"/>
          <w:b w:val="0"/>
          <w:i/>
          <w:sz w:val="24"/>
        </w:rPr>
        <w:t>rgdpna</w:t>
      </w:r>
      <w:r>
        <w:rPr>
          <w:rFonts w:ascii="Times New Roman" w:hAnsi="Times New Roman" w:eastAsia="MS Mincho"/>
          <w:b w:val="0"/>
          <w:i w:val="0"/>
          <w:sz w:val="24"/>
        </w:rPr>
        <w:t>), tangible capital stock (</w:t>
      </w:r>
      <w:r>
        <w:rPr>
          <w:rFonts w:ascii="Times New Roman" w:hAnsi="Times New Roman" w:eastAsia="MS Mincho"/>
          <w:b w:val="0"/>
          <w:i/>
          <w:sz w:val="24"/>
        </w:rPr>
        <w:t>rnna</w:t>
      </w:r>
      <w:r>
        <w:rPr>
          <w:rFonts w:ascii="Times New Roman" w:hAnsi="Times New Roman" w:eastAsia="MS Mincho"/>
          <w:b w:val="0"/>
          <w:i w:val="0"/>
          <w:sz w:val="24"/>
        </w:rPr>
        <w:t>), investment share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depreciation (</w:t>
      </w:r>
      <w:r>
        <w:rPr>
          <w:rFonts w:ascii="Times New Roman" w:hAnsi="Times New Roman" w:eastAsia="MS Mincho"/>
          <w:b w:val="0"/>
          <w:i/>
          <w:sz w:val="24"/>
        </w:rPr>
        <w:t>delta</w:t>
      </w:r>
      <w:r>
        <w:rPr>
          <w:rFonts w:ascii="Times New Roman" w:hAnsi="Times New Roman" w:eastAsia="MS Mincho"/>
          <w:b w:val="0"/>
          <w:i w:val="0"/>
          <w:sz w:val="24"/>
        </w:rPr>
        <w:t>), employment (</w:t>
      </w:r>
      <w:r>
        <w:rPr>
          <w:rFonts w:ascii="Times New Roman" w:hAnsi="Times New Roman" w:eastAsia="MS Mincho"/>
          <w:b w:val="0"/>
          <w:i/>
          <w:sz w:val="24"/>
        </w:rPr>
        <w:t>emp</w:t>
      </w:r>
      <w:r>
        <w:rPr>
          <w:rFonts w:ascii="Times New Roman" w:hAnsi="Times New Roman" w:eastAsia="MS Mincho"/>
          <w:b w:val="0"/>
          <w:i w:val="0"/>
          <w:sz w:val="24"/>
        </w:rPr>
        <w:t>), average hours (</w:t>
      </w:r>
      <w:r>
        <w:rPr>
          <w:rFonts w:ascii="Times New Roman" w:hAnsi="Times New Roman" w:eastAsia="MS Mincho"/>
          <w:b w:val="0"/>
          <w:i/>
          <w:sz w:val="24"/>
        </w:rPr>
        <w:t>avh</w:t>
      </w:r>
      <w:r>
        <w:rPr>
          <w:rFonts w:ascii="Times New Roman" w:hAnsi="Times New Roman" w:eastAsia="MS Mincho"/>
          <w:b w:val="0"/>
          <w:i w:val="0"/>
          <w:sz w:val="24"/>
        </w:rPr>
        <w:t>), human-capital index (</w:t>
      </w:r>
      <w:r>
        <w:rPr>
          <w:rFonts w:ascii="Times New Roman" w:hAnsi="Times New Roman" w:eastAsia="MS Mincho"/>
          <w:b w:val="0"/>
          <w:i/>
          <w:sz w:val="24"/>
        </w:rPr>
        <w:t>hc</w:t>
      </w:r>
      <w:r>
        <w:rPr>
          <w:rFonts w:ascii="Times New Roman" w:hAnsi="Times New Roman" w:eastAsia="MS Mincho"/>
          <w:b w:val="0"/>
          <w:i w:val="0"/>
          <w:sz w:val="24"/>
        </w:rPr>
        <w:t>), and labour share (</w:t>
      </w:r>
      <w:r>
        <w:rPr>
          <w:rFonts w:ascii="Times New Roman" w:hAnsi="Times New Roman" w:eastAsia="MS Mincho"/>
          <w:b w:val="0"/>
          <w:i/>
          <w:sz w:val="24"/>
        </w:rPr>
        <w:t>labsh</w:t>
      </w:r>
      <w:r>
        <w:rPr>
          <w:rFonts w:ascii="Times New Roman" w:hAnsi="Times New Roman" w:eastAsia="MS Mincho"/>
          <w:b w:val="0"/>
          <w:i w:val="0"/>
          <w:sz w:val="24"/>
        </w:rPr>
        <w:t xml:space="preserve">). For R&amp;D intensity we use </w:t>
      </w:r>
      <w:r>
        <w:rPr>
          <w:rFonts w:ascii="Times New Roman" w:hAnsi="Times New Roman" w:eastAsia="MS Mincho"/>
          <w:b/>
          <w:i w:val="0"/>
          <w:sz w:val="24"/>
        </w:rPr>
        <w:t>World Bank WDI</w:t>
      </w:r>
      <w:r>
        <w:rPr>
          <w:rFonts w:ascii="Times New Roman" w:hAnsi="Times New Roman" w:eastAsia="MS Mincho"/>
          <w:b w:val="0"/>
          <w:i w:val="0"/>
          <w:sz w:val="24"/>
        </w:rPr>
        <w:t xml:space="preserve"> series </w:t>
      </w:r>
      <w:r>
        <w:rPr>
          <w:rFonts w:ascii="Times New Roman" w:hAnsi="Times New Roman" w:eastAsia="MS Mincho"/>
          <w:b w:val="0"/>
          <w:i/>
          <w:sz w:val="24"/>
        </w:rPr>
        <w:t>GB.XPD.RSDV.GD.ZS</w:t>
      </w:r>
      <w:r>
        <w:rPr>
          <w:rFonts w:ascii="Times New Roman" w:hAnsi="Times New Roman" w:eastAsia="MS Mincho"/>
          <w:b w:val="0"/>
          <w:i w:val="0"/>
          <w:sz w:val="24"/>
        </w:rPr>
        <w:t xml:space="preserve">. For wealth we use </w:t>
      </w:r>
      <w:r>
        <w:rPr>
          <w:rFonts w:ascii="Times New Roman" w:hAnsi="Times New Roman" w:eastAsia="MS Mincho"/>
          <w:b/>
          <w:i w:val="0"/>
          <w:sz w:val="24"/>
        </w:rPr>
        <w:t>World Bank Changing Wealth of Nations</w:t>
      </w:r>
      <w:r>
        <w:rPr>
          <w:rFonts w:ascii="Times New Roman" w:hAnsi="Times New Roman" w:eastAsia="MS Mincho"/>
          <w:b w:val="0"/>
          <w:i w:val="0"/>
          <w:sz w:val="24"/>
        </w:rPr>
        <w:t xml:space="preserve"> 2021 release (Lange, Wodon, and Carey, 2018) — specifically </w:t>
      </w:r>
      <w:r>
        <w:rPr>
          <w:rFonts w:ascii="Times New Roman" w:hAnsi="Times New Roman" w:eastAsia="MS Mincho"/>
          <w:b w:val="0"/>
          <w:i/>
          <w:sz w:val="24"/>
        </w:rPr>
        <w:t>NW.PCA.TO</w:t>
      </w:r>
      <w:r>
        <w:rPr>
          <w:rFonts w:ascii="Times New Roman" w:hAnsi="Times New Roman" w:eastAsia="MS Mincho"/>
          <w:b w:val="0"/>
          <w:i w:val="0"/>
          <w:sz w:val="24"/>
        </w:rPr>
        <w:t xml:space="preserve"> (produced capital total), </w:t>
      </w:r>
      <w:r>
        <w:rPr>
          <w:rFonts w:ascii="Times New Roman" w:hAnsi="Times New Roman" w:eastAsia="MS Mincho"/>
          <w:b w:val="0"/>
          <w:i/>
          <w:sz w:val="24"/>
        </w:rPr>
        <w:t>NW.HCA.TO</w:t>
      </w:r>
      <w:r>
        <w:rPr>
          <w:rFonts w:ascii="Times New Roman" w:hAnsi="Times New Roman" w:eastAsia="MS Mincho"/>
          <w:b w:val="0"/>
          <w:i w:val="0"/>
          <w:sz w:val="24"/>
        </w:rPr>
        <w:t xml:space="preserve"> (human capital total), and </w:t>
      </w:r>
      <w:r>
        <w:rPr>
          <w:rFonts w:ascii="Times New Roman" w:hAnsi="Times New Roman" w:eastAsia="MS Mincho"/>
          <w:b w:val="0"/>
          <w:i/>
          <w:sz w:val="24"/>
        </w:rPr>
        <w:t>NW.TOW.TO</w:t>
      </w:r>
      <w:r>
        <w:rPr>
          <w:rFonts w:ascii="Times New Roman" w:hAnsi="Times New Roman" w:eastAsia="MS Mincho"/>
          <w:b w:val="0"/>
          <w:i w:val="0"/>
          <w:sz w:val="24"/>
        </w:rPr>
        <w:t xml:space="preserve"> (total wealth).</w:t>
      </w:r>
    </w:p>
    <w:p>
      <w:pPr>
        <w:spacing w:after="120" w:line="360" w:lineRule="auto"/>
        <w:ind w:firstLine="480"/>
      </w:pPr>
      <w:r>
        <w:rPr>
          <w:rFonts w:ascii="Times New Roman" w:hAnsi="Times New Roman" w:eastAsia="MS Mincho"/>
          <w:b w:val="0"/>
          <w:i w:val="0"/>
          <w:sz w:val="24"/>
        </w:rPr>
        <w:t>The sample is 39 OECD and middle-income economies for which all series are available. The GDP sample runs from 1970 to 2019; CWON runs 1995–2020; we take the intersection 1995–2019 when both are needed.</w:t>
      </w:r>
    </w:p>
    <w:p>
      <w:pPr>
        <w:spacing w:before="360" w:after="120" w:line="360" w:lineRule="auto"/>
      </w:pPr>
      <w:r>
        <w:rPr>
          <w:rFonts w:ascii="Times New Roman" w:hAnsi="Times New Roman" w:eastAsia="MS Mincho"/>
          <w:b/>
          <w:i w:val="0"/>
          <w:sz w:val="24"/>
        </w:rPr>
        <w:t>4.2 Models M0–M4</w:t>
      </w:r>
    </w:p>
    <w:p>
      <w:pPr>
        <w:spacing w:after="120" w:line="360" w:lineRule="auto"/>
        <w:ind w:firstLine="480"/>
      </w:pPr>
      <w:r>
        <w:rPr>
          <w:rFonts w:ascii="Times New Roman" w:hAnsi="Times New Roman" w:eastAsia="MS Mincho"/>
          <w:b w:val="0"/>
          <w:i w:val="0"/>
          <w:sz w:val="24"/>
        </w:rPr>
        <w:t>We estimate five nested production-function specifications:</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M0</w:t>
      </w:r>
      <w:r>
        <w:rPr>
          <w:rFonts w:ascii="Times New Roman" w:hAnsi="Times New Roman" w:eastAsia="MS Mincho"/>
          <w:b w:val="0"/>
          <w:i w:val="0"/>
          <w:sz w:val="24"/>
        </w:rPr>
        <w:t xml:space="preserve">: Solow baseline,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as M0 above, </w:t>
      </w:r>
      <w:r>
        <w:rPr>
          <w:rFonts w:ascii="Times New Roman" w:hAnsi="Times New Roman" w:eastAsia="MS Mincho"/>
          <w:b w:val="0"/>
          <w:i/>
          <w:sz w:val="24"/>
        </w:rPr>
        <w:t>β</w:t>
      </w:r>
      <w:r>
        <w:rPr>
          <w:rFonts w:ascii="Times New Roman" w:hAnsi="Times New Roman" w:eastAsia="MS Mincho"/>
          <w:b w:val="0"/>
          <w:i w:val="0"/>
          <w:sz w:val="24"/>
        </w:rPr>
        <w:t xml:space="preserve"> = 0.</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M1</w:t>
      </w:r>
      <w:r>
        <w:rPr>
          <w:rFonts w:ascii="Times New Roman" w:hAnsi="Times New Roman" w:eastAsia="MS Mincho"/>
          <w:b w:val="0"/>
          <w:i w:val="0"/>
          <w:sz w:val="24"/>
        </w:rPr>
        <w:t xml:space="preserve">: Constant-lag PIM (M1) with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val="0"/>
          <w:sz w:val="24"/>
        </w:rPr>
        <w:t>* estimated per country by minimising Test B (growth-rate RMSE).</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M2</w:t>
      </w:r>
      <w:r>
        <w:rPr>
          <w:rFonts w:ascii="Times New Roman" w:hAnsi="Times New Roman" w:eastAsia="MS Mincho"/>
          <w:b w:val="0"/>
          <w:i w:val="0"/>
          <w:sz w:val="24"/>
        </w:rPr>
        <w:t xml:space="preserve">: Time-varying lag </w:t>
      </w:r>
      <w:r>
        <w:rPr>
          <w:rFonts w:ascii="Times New Roman" w:hAnsi="Times New Roman" w:eastAsia="MS Mincho"/>
          <w:b w:val="0"/>
          <w:i/>
          <w:sz w:val="24"/>
        </w:rPr>
        <w:t>μ</w:t>
      </w:r>
      <w:r>
        <w:rPr>
          <w:rFonts w:ascii="Times New Roman" w:hAnsi="Times New Roman" w:eastAsia="MS Mincho"/>
          <w:b w:val="0"/>
          <w:i w:val="0"/>
          <w:sz w:val="24"/>
        </w:rPr>
        <w:t xml:space="preserve">(t) = </w:t>
      </w:r>
      <w:r>
        <w:rPr>
          <w:rFonts w:ascii="Times New Roman" w:hAnsi="Times New Roman" w:eastAsia="MS Mincho"/>
          <w:b w:val="0"/>
          <w:i/>
          <w:sz w:val="24"/>
        </w:rPr>
        <w:t>μ</w:t>
      </w:r>
      <w:r>
        <w:rPr>
          <w:rFonts w:ascii="Times New Roman" w:hAnsi="Times New Roman" w:eastAsia="MS Mincho"/>
          <w:b w:val="0"/>
          <w:i w:val="0"/>
          <w:sz w:val="24"/>
        </w:rPr>
        <w:t xml:space="preserve">₀ + </w:t>
      </w:r>
      <w:r>
        <w:rPr>
          <w:rFonts w:ascii="Times New Roman" w:hAnsi="Times New Roman" w:eastAsia="MS Mincho"/>
          <w:b w:val="0"/>
          <w:i/>
          <w:sz w:val="24"/>
        </w:rPr>
        <w:t>μ</w:t>
      </w:r>
      <w:r>
        <w:rPr>
          <w:rFonts w:ascii="Times New Roman" w:hAnsi="Times New Roman" w:eastAsia="MS Mincho"/>
          <w:b w:val="0"/>
          <w:i w:val="0"/>
          <w:sz w:val="24"/>
        </w:rPr>
        <w:t>₁·(t − t₀) from (M2).</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M3</w:t>
      </w:r>
      <w:r>
        <w:rPr>
          <w:rFonts w:ascii="Times New Roman" w:hAnsi="Times New Roman" w:eastAsia="MS Mincho"/>
          <w:b w:val="0"/>
          <w:i w:val="0"/>
          <w:sz w:val="24"/>
        </w:rPr>
        <w:t>: M0 tangible stock augmented with intangible stock K</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estimated by growth-rate fit.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M4</w:t>
      </w:r>
      <w:r>
        <w:rPr>
          <w:rFonts w:ascii="Times New Roman" w:hAnsi="Times New Roman" w:eastAsia="MS Mincho"/>
          <w:b w:val="0"/>
          <w:i w:val="0"/>
          <w:sz w:val="24"/>
        </w:rPr>
        <w:t>: Joint identification (Sect. 3.3), minimising (2) over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simultaneously against CWON.</w:t>
      </w:r>
    </w:p>
    <w:p>
      <w:pPr>
        <w:spacing w:after="120" w:line="360" w:lineRule="auto"/>
        <w:ind w:firstLine="480"/>
      </w:pPr>
      <w:r>
        <w:rPr>
          <w:rFonts w:ascii="Times New Roman" w:hAnsi="Times New Roman" w:eastAsia="MS Mincho"/>
          <w:b w:val="0"/>
          <w:i w:val="0"/>
          <w:sz w:val="24"/>
        </w:rPr>
        <w:t>For each model we report two within-sample test statistics and one out-of-sample test statistic:</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Test A (level MAPE)</w:t>
      </w:r>
      <w:r>
        <w:rPr>
          <w:rFonts w:ascii="Times New Roman" w:hAnsi="Times New Roman" w:eastAsia="MS Mincho"/>
          <w:b w:val="0"/>
          <w:i w:val="0"/>
          <w:sz w:val="24"/>
        </w:rPr>
        <w:t>: mean absolute percentage error of fitted log-GDP against observed log-GDP, decomposing away decade-mean TFP. Lower is better.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Test B (growth RMSE)</w:t>
      </w:r>
      <w:r>
        <w:rPr>
          <w:rFonts w:ascii="Times New Roman" w:hAnsi="Times New Roman" w:eastAsia="MS Mincho"/>
          <w:b w:val="0"/>
          <w:i w:val="0"/>
          <w:sz w:val="24"/>
        </w:rPr>
        <w:t>: root-mean-squared error of 1-year log-GDP differences, in percentage points. Lower is better.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Out-of-sample MAPE</w:t>
      </w:r>
      <w:r>
        <w:rPr>
          <w:rFonts w:ascii="Times New Roman" w:hAnsi="Times New Roman" w:eastAsia="MS Mincho"/>
          <w:b w:val="0"/>
          <w:i w:val="0"/>
          <w:sz w:val="24"/>
        </w:rPr>
        <w:t>: parameters fit on 1970–2014, level forecasts produced for 2015–2019 with a training-window TFP projection. Lower is better.</w:t>
      </w:r>
    </w:p>
    <w:p>
      <w:pPr>
        <w:spacing w:before="360" w:after="120" w:line="360" w:lineRule="auto"/>
      </w:pPr>
      <w:r>
        <w:rPr>
          <w:rFonts w:ascii="Times New Roman" w:hAnsi="Times New Roman" w:eastAsia="MS Mincho"/>
          <w:b/>
          <w:i w:val="0"/>
          <w:sz w:val="24"/>
        </w:rPr>
        <w:t>4.3 Estimation protocol and grid search</w:t>
      </w:r>
    </w:p>
    <w:p>
      <w:pPr>
        <w:spacing w:after="120" w:line="360" w:lineRule="auto"/>
        <w:ind w:firstLine="480"/>
      </w:pPr>
      <w:r>
        <w:rPr>
          <w:rFonts w:ascii="Times New Roman" w:hAnsi="Times New Roman" w:eastAsia="MS Mincho"/>
          <w:b w:val="0"/>
          <w:i w:val="0"/>
          <w:sz w:val="24"/>
        </w:rPr>
        <w:t xml:space="preserve">All five models are estimated by grid search, not gradient optimisation, for three reasons. First, the objective function (2) has known non-convexities induced by the geometric lag kernel, especially when </w:t>
      </w:r>
      <w:r>
        <w:rPr>
          <w:rFonts w:ascii="Times New Roman" w:hAnsi="Times New Roman" w:eastAsia="MS Mincho"/>
          <w:b w:val="0"/>
          <w:i/>
          <w:sz w:val="24"/>
        </w:rPr>
        <w:t>μ</w:t>
      </w:r>
      <w:r>
        <w:rPr>
          <w:rFonts w:ascii="Times New Roman" w:hAnsi="Times New Roman" w:eastAsia="MS Mincho"/>
          <w:b w:val="0"/>
          <w:i w:val="0"/>
          <w:sz w:val="24"/>
        </w:rPr>
        <w:t xml:space="preserve"> is small and the kernel is near-concentrated. Second, grid search produces an explicit posterior-like surface for each (country, model) pair, which we use in the sensitivity checks below. Third, the 39-country × 5-model × 1000-draw bootstrap would be intractable with a Nelder-Mead or BFGS inner loop for many countries. The </w:t>
      </w:r>
      <w:r>
        <w:rPr>
          <w:rFonts w:ascii="Times New Roman" w:hAnsi="Times New Roman" w:eastAsia="MS Mincho"/>
          <w:b w:val="0"/>
          <w:i/>
          <w:sz w:val="24"/>
        </w:rPr>
        <w:t>μ</w:t>
      </w:r>
      <w:r>
        <w:rPr>
          <w:rFonts w:ascii="Times New Roman" w:hAnsi="Times New Roman" w:eastAsia="MS Mincho"/>
          <w:b w:val="0"/>
          <w:i w:val="0"/>
          <w:sz w:val="24"/>
        </w:rPr>
        <w:t xml:space="preserve"> grid is {0.01, 0.05, 0.10, 0.25, 0.50, 1.0, 1.5, 2.0, 3.0, 4.5, 6.0} years and the </w:t>
      </w:r>
      <w:r>
        <w:rPr>
          <w:rFonts w:ascii="Times New Roman" w:hAnsi="Times New Roman" w:eastAsia="MS Mincho"/>
          <w:b w:val="0"/>
          <w:i/>
          <w:sz w:val="24"/>
        </w:rPr>
        <w:t>β</w:t>
      </w:r>
      <w:r>
        <w:rPr>
          <w:rFonts w:ascii="Times New Roman" w:hAnsi="Times New Roman" w:eastAsia="MS Mincho"/>
          <w:b w:val="0"/>
          <w:i w:val="0"/>
          <w:sz w:val="24"/>
        </w:rPr>
        <w:t xml:space="preserve"> grid is {0.00, 0.02, 0.04, ..., 0.34}; </w:t>
      </w:r>
      <w:r>
        <w:rPr>
          <w:rFonts w:ascii="Times New Roman" w:hAnsi="Times New Roman" w:eastAsia="MS Mincho"/>
          <w:b w:val="0"/>
          <w:i/>
          <w:sz w:val="24"/>
        </w:rPr>
        <w:t>μ</w:t>
      </w:r>
      <w:r>
        <w:rPr>
          <w:rFonts w:ascii="Times New Roman" w:hAnsi="Times New Roman" w:eastAsia="MS Mincho"/>
          <w:b w:val="0"/>
          <w:i w:val="0"/>
          <w:sz w:val="24"/>
        </w:rPr>
        <w:t xml:space="preserve">₁ is searched on {−0.08, −0.04, −0.02, 0, +0.02, +0.04, +0.08} per year. These bounds were selected to bracket all plausible parameter values reported in prior cross-country studies (Kaboski, 2005; Corrado et al., 2016), and we verified that no country's optimum hits the grid boundary. The anchor year t₀ is 1970 for all countries, so that </w:t>
      </w:r>
      <w:r>
        <w:rPr>
          <w:rFonts w:ascii="Times New Roman" w:hAnsi="Times New Roman" w:eastAsia="MS Mincho"/>
          <w:b w:val="0"/>
          <w:i/>
          <w:sz w:val="24"/>
        </w:rPr>
        <w:t>μ</w:t>
      </w:r>
      <w:r>
        <w:rPr>
          <w:rFonts w:ascii="Times New Roman" w:hAnsi="Times New Roman" w:eastAsia="MS Mincho"/>
          <w:b w:val="0"/>
          <w:i w:val="0"/>
          <w:sz w:val="24"/>
        </w:rPr>
        <w:t xml:space="preserve">₀ is the average lag in the base year; this choice has no effect on fit but makes </w:t>
      </w:r>
      <w:r>
        <w:rPr>
          <w:rFonts w:ascii="Times New Roman" w:hAnsi="Times New Roman" w:eastAsia="MS Mincho"/>
          <w:b w:val="0"/>
          <w:i/>
          <w:sz w:val="24"/>
        </w:rPr>
        <w:t>μ</w:t>
      </w:r>
      <w:r>
        <w:rPr>
          <w:rFonts w:ascii="Times New Roman" w:hAnsi="Times New Roman" w:eastAsia="MS Mincho"/>
          <w:b w:val="0"/>
          <w:i w:val="0"/>
          <w:sz w:val="24"/>
        </w:rPr>
        <w:t xml:space="preserve">₀ and </w:t>
      </w:r>
      <w:r>
        <w:rPr>
          <w:rFonts w:ascii="Times New Roman" w:hAnsi="Times New Roman" w:eastAsia="MS Mincho"/>
          <w:b w:val="0"/>
          <w:i/>
          <w:sz w:val="24"/>
        </w:rPr>
        <w:t>μ</w:t>
      </w:r>
      <w:r>
        <w:rPr>
          <w:rFonts w:ascii="Times New Roman" w:hAnsi="Times New Roman" w:eastAsia="MS Mincho"/>
          <w:b w:val="0"/>
          <w:i w:val="0"/>
          <w:sz w:val="24"/>
        </w:rPr>
        <w:t>₁ interpretable.</w:t>
      </w:r>
    </w:p>
    <w:p>
      <w:pPr>
        <w:spacing w:before="360" w:after="120" w:line="360" w:lineRule="auto"/>
      </w:pPr>
      <w:r>
        <w:rPr>
          <w:rFonts w:ascii="Times New Roman" w:hAnsi="Times New Roman" w:eastAsia="MS Mincho"/>
          <w:b/>
          <w:i w:val="0"/>
          <w:sz w:val="24"/>
        </w:rPr>
        <w:t>4.4 Bootstrap confidence intervals</w:t>
      </w:r>
    </w:p>
    <w:p>
      <w:pPr>
        <w:spacing w:after="120" w:line="360" w:lineRule="auto"/>
        <w:ind w:firstLine="480"/>
      </w:pPr>
      <w:r>
        <w:rPr>
          <w:rFonts w:ascii="Times New Roman" w:hAnsi="Times New Roman" w:eastAsia="MS Mincho"/>
          <w:b w:val="0"/>
          <w:i w:val="0"/>
          <w:sz w:val="24"/>
        </w:rPr>
        <w:t xml:space="preserve">For every country we residual-bootstrap the growth-rate residuals of M4 one hundred times (block size 1, since the autocorrelation structure of PWT annual-growth residuals is weak after detrending; block size 3 gives nearly identical 95 % intervals on a pilot of five countries). Each bootstrap replicate proceeds as follows: (i) compute fitted growth rates from M4 and the corresponding residuals; (ii) resample the residuals and reconstruct a synthetic log-GDP series; (iii) back out a synthetic investment series using the PWT investment-share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and a synthetic R&amp;D intensity using WDI shares; (iv) rebuild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and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val="0"/>
          <w:sz w:val="24"/>
        </w:rPr>
        <w:t>; (v) re-run the joint-identification grid, storing (</w:t>
      </w:r>
      <w:r>
        <w:rPr>
          <w:rFonts w:ascii="Times New Roman" w:hAnsi="Times New Roman" w:eastAsia="MS Mincho"/>
          <w:b w:val="0"/>
          <w:i/>
          <w:sz w:val="24"/>
        </w:rPr>
        <w:t>μ</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We report 95 % percentile intervals in Figure 3 and per-country medians in the supplementary JSON. Country-specific CIs are narrowest for long, non-volatile series (United States, Canada, Germany, France, United Kingdom, Japan, Australia) and widest for short or post-transition series (Estonia, Latvia, Chile). We do not adjust the 95 % intervals for multiple testing across countries; the reader who wants a conservative reading should apply a Bonferroni-style 5 %/39 ≈ 0.13 % threshold, under which </w:t>
      </w:r>
      <w:r>
        <w:rPr>
          <w:rFonts w:ascii="Times New Roman" w:hAnsi="Times New Roman" w:eastAsia="MS Mincho"/>
          <w:b w:val="0"/>
          <w:i/>
          <w:sz w:val="24"/>
        </w:rPr>
        <w:t>μ</w:t>
      </w:r>
      <w:r>
        <w:rPr>
          <w:rFonts w:ascii="Times New Roman" w:hAnsi="Times New Roman" w:eastAsia="MS Mincho"/>
          <w:b w:val="0"/>
          <w:i w:val="0"/>
          <w:sz w:val="24"/>
        </w:rPr>
        <w:t xml:space="preserve"> = 0 is still rejected for 14 countries and </w:t>
      </w:r>
      <w:r>
        <w:rPr>
          <w:rFonts w:ascii="Times New Roman" w:hAnsi="Times New Roman" w:eastAsia="MS Mincho"/>
          <w:b w:val="0"/>
          <w:i/>
          <w:sz w:val="24"/>
        </w:rPr>
        <w:t>β</w:t>
      </w:r>
      <w:r>
        <w:rPr>
          <w:rFonts w:ascii="Times New Roman" w:hAnsi="Times New Roman" w:eastAsia="MS Mincho"/>
          <w:b w:val="0"/>
          <w:i w:val="0"/>
          <w:sz w:val="24"/>
        </w:rPr>
        <w:t xml:space="preserve"> = 0 for 9 countries.</w:t>
      </w:r>
    </w:p>
    <w:p>
      <w:pPr>
        <w:spacing w:before="360" w:after="120" w:line="360" w:lineRule="auto"/>
      </w:pPr>
      <w:r>
        <w:rPr>
          <w:rFonts w:ascii="Times New Roman" w:hAnsi="Times New Roman" w:eastAsia="MS Mincho"/>
          <w:b/>
          <w:i w:val="0"/>
          <w:sz w:val="24"/>
        </w:rPr>
        <w:t>4.5 γ_price sensitivity</w:t>
      </w:r>
    </w:p>
    <w:p>
      <w:pPr>
        <w:spacing w:after="120" w:line="360" w:lineRule="auto"/>
        <w:ind w:firstLine="480"/>
      </w:pPr>
      <w:r>
        <w:rPr>
          <w:rFonts w:ascii="Times New Roman" w:hAnsi="Times New Roman" w:eastAsia="MS Mincho"/>
          <w:b w:val="0"/>
          <w:i w:val="0"/>
          <w:sz w:val="24"/>
        </w:rPr>
        <w:t xml:space="preserve">To test whether the residual PIM-CWON gap in countries such as Japan reflects an asset-price re-evaluation effect rather than a real capital gap, we re-run the comparison under five counterfactual scenarios in which CWON PCA is inflated/deflated at an annual rate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−0.02, 0, +0.02, +0.04}. A large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sensitivity for a specific country would indicate that asset-price revaluation explains most of its gap; a small sensitivity would indicate a genuine real discrepancy. The interval ±0.04 per year brackets the observed rate of deflation in Japanese urban land prices during the 1990s (Nishimura and Saita, 2005) as well as the observed rate of reflation in US commercial real-estate between 2009 and 2019, so the grid is economically meaningful rather than arbitrary. We stress that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is not intended to be an additional estimand of the joint framework — if it were, it would enter (2) alongside </w:t>
      </w:r>
      <w:r>
        <w:rPr>
          <w:rFonts w:ascii="Times New Roman" w:hAnsi="Times New Roman" w:eastAsia="MS Mincho"/>
          <w:b w:val="0"/>
          <w:i/>
          <w:sz w:val="24"/>
        </w:rPr>
        <w:t>μ</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Rather, it is a diagnostic: a residual gap between the PIM account and the CWON account at a specific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value admits exactly one of three interpretations, namely (a) quantity mis-measurement in the PIM, (b) quantity mis-measurement in CWON, or (c) genuine composition change (e.g. a real shift from tangible to intangible capital that neither account has fully absorbed). The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sweep helps identify (a) and (b) against (c).</w:t>
      </w:r>
    </w:p>
    <w:p>
      <w:pPr>
        <w:spacing w:before="360" w:after="120" w:line="360" w:lineRule="auto"/>
      </w:pPr>
      <w:r>
        <w:rPr>
          <w:rFonts w:ascii="Times New Roman" w:hAnsi="Times New Roman" w:eastAsia="MS Mincho"/>
          <w:b/>
          <w:i w:val="0"/>
          <w:sz w:val="28"/>
        </w:rPr>
        <w:t>5 Results</w:t>
      </w:r>
    </w:p>
    <w:p>
      <w:pPr>
        <w:spacing w:before="360" w:after="120" w:line="360" w:lineRule="auto"/>
      </w:pPr>
      <w:r>
        <w:rPr>
          <w:rFonts w:ascii="Times New Roman" w:hAnsi="Times New Roman" w:eastAsia="MS Mincho"/>
          <w:b/>
          <w:i w:val="0"/>
          <w:sz w:val="24"/>
        </w:rPr>
        <w:t>5.1 In-sample parameter distributions and fit</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val="0"/>
          <w:i w:val="0"/>
          <w:sz w:val="24"/>
        </w:rPr>
        <w:t xml:space="preserve">Table 1 summarises the five models. Three facts deserve particular emphasis. First, the median in-sample growth-rate RMSE hardly moves across M0-M4 (3.07-3.10 pp). This is what standard Solow-accounting practitioners have found repeatedly when they experimented with alternative capital constructions (Jorgenson and Griliches, 1967; Hulten, 1992), and it is one reason why the profession has settled on M0 as the canonical baseline: within-sample growth-rate fit does not discipline </w:t>
      </w:r>
      <w:r>
        <w:rPr>
          <w:rFonts w:ascii="Times New Roman" w:hAnsi="Times New Roman" w:eastAsia="MS Mincho"/>
          <w:b w:val="0"/>
          <w:i/>
          <w:sz w:val="24"/>
        </w:rPr>
        <w:t>μ</w:t>
      </w:r>
      <w:r>
        <w:rPr>
          <w:rFonts w:ascii="Times New Roman" w:hAnsi="Times New Roman" w:eastAsia="MS Mincho"/>
          <w:b w:val="0"/>
          <w:i w:val="0"/>
          <w:sz w:val="24"/>
        </w:rPr>
        <w:t xml:space="preserve"> at all. Second, the median level MAPE under M0 is 4.10 %, meaning that a carefully re-estimated TFP trajectory can absorb nearly all of a 4 % miscalibration in the capital stock at every point in time while preserving the first-differenced fit. This perfectly illustrates the warning of Griliches (1996) that "TFP is the measure of our ignorance": any capital mis-specification that varies on decade-scale time-frequencies will be silently reabsorbed into decade-scale TFP, and then re-interpreted as innovation. Third, and most importantly for the method developed here, the distribution of estimated </w:t>
      </w:r>
      <w:r>
        <w:rPr>
          <w:rFonts w:ascii="Times New Roman" w:hAnsi="Times New Roman" w:eastAsia="MS Mincho"/>
          <w:b w:val="0"/>
          <w:i/>
          <w:sz w:val="24"/>
        </w:rPr>
        <w:t>μ</w:t>
      </w:r>
      <w:r>
        <w:rPr>
          <w:rFonts w:ascii="Times New Roman" w:hAnsi="Times New Roman" w:eastAsia="MS Mincho"/>
          <w:b w:val="0"/>
          <w:i/>
          <w:sz w:val="24"/>
        </w:rPr>
        <w:t xml:space="preserve"> across the 39 countries is highly non-degenerate. The interquartile range under M1 runs from below 0.1 years to above 1.2 years, and the tempo drift </w:t>
      </w:r>
      <w:r>
        <w:rPr>
          <w:rFonts w:ascii="Times New Roman" w:hAnsi="Times New Roman" w:eastAsia="MS Mincho"/>
          <w:b w:val="0"/>
          <w:i/>
          <w:sz w:val="24"/>
        </w:rPr>
        <w:t>μ</w:t>
      </w:r>
      <w:r>
        <w:rPr>
          <w:rFonts w:ascii="Times New Roman" w:hAnsi="Times New Roman" w:eastAsia="MS Mincho"/>
          <w:b w:val="0"/>
          <w:i/>
          <w:sz w:val="24"/>
        </w:rPr>
        <w:t>₁ under M2 has an IQR that includes both substantially negative and substantially positive values. The universal-</w:t>
      </w:r>
      <w:r>
        <w:rPr>
          <w:rFonts w:ascii="Times New Roman" w:hAnsi="Times New Roman" w:eastAsia="MS Mincho"/>
          <w:b w:val="0"/>
          <w:i/>
          <w:sz w:val="24"/>
        </w:rPr>
        <w:t>μ</w:t>
      </w:r>
      <w:r>
        <w:rPr>
          <w:rFonts w:ascii="Times New Roman" w:hAnsi="Times New Roman" w:eastAsia="MS Mincho"/>
          <w:b w:val="0"/>
          <w:i/>
          <w:sz w:val="24"/>
        </w:rPr>
        <w:t xml:space="preserve"> assumption implicit in M0 is therefore not merely statistically violated — it is violated in both directions across the sample, which implies that any single-parameter global correction (including the 5-year or 10-year fixed lags popular in business-cycle calibration) will be biased in roughly half of the sample. The median country has a M1 constant lag </w:t>
      </w:r>
      <w:r>
        <w:rPr>
          <w:rFonts w:ascii="Times New Roman" w:hAnsi="Times New Roman" w:eastAsia="MS Mincho"/>
          <w:b w:val="0"/>
          <w:i/>
          <w:sz w:val="24"/>
        </w:rPr>
        <w:t>μ</w:t>
      </w:r>
      <w:r>
        <w:rPr>
          <w:rFonts w:ascii="Times New Roman" w:hAnsi="Times New Roman" w:eastAsia="MS Mincho"/>
          <w:b w:val="0"/>
          <w:i w:val="0"/>
          <w:sz w:val="24"/>
        </w:rPr>
        <w:t xml:space="preserve"> ≈ 0.3 years and a M2 tempo drift </w:t>
      </w:r>
      <w:r>
        <w:rPr>
          <w:rFonts w:ascii="Times New Roman" w:hAnsi="Times New Roman" w:eastAsia="MS Mincho"/>
          <w:b w:val="0"/>
          <w:i/>
          <w:sz w:val="24"/>
        </w:rPr>
        <w:t>μ</w:t>
      </w:r>
      <w:r>
        <w:rPr>
          <w:rFonts w:ascii="Times New Roman" w:hAnsi="Times New Roman" w:eastAsia="MS Mincho"/>
          <w:b w:val="0"/>
          <w:i w:val="0"/>
          <w:sz w:val="24"/>
        </w:rPr>
        <w:t xml:space="preserve">₁ close to zero on average but with wide dispersion across countries (IQR roughly [−0.02, +0.05]). Median intangible share </w:t>
      </w:r>
      <w:r>
        <w:rPr>
          <w:rFonts w:ascii="Times New Roman" w:hAnsi="Times New Roman" w:eastAsia="MS Mincho"/>
          <w:b w:val="0"/>
          <w:i/>
          <w:sz w:val="24"/>
        </w:rPr>
        <w:t>β</w:t>
      </w:r>
      <w:r>
        <w:rPr>
          <w:rFonts w:ascii="Times New Roman" w:hAnsi="Times New Roman" w:eastAsia="MS Mincho"/>
          <w:b w:val="0"/>
          <w:i w:val="0"/>
          <w:sz w:val="24"/>
        </w:rPr>
        <w:t xml:space="preserve"> under M3 is about 0.06 for production-only fitting and 0.06 under joint identification with CWON (M4). The in-sample growth-rate RMSE is statistically indistinguishable across M0–M4 at the median (all within 3.07–3.10 pp), confirming that the production function is close to flat in </w:t>
      </w:r>
      <w:r>
        <w:rPr>
          <w:rFonts w:ascii="Times New Roman" w:hAnsi="Times New Roman" w:eastAsia="MS Mincho"/>
          <w:b w:val="0"/>
          <w:i/>
          <w:sz w:val="24"/>
        </w:rPr>
        <w:t>μ</w:t>
      </w:r>
      <w:r>
        <w:rPr>
          <w:rFonts w:ascii="Times New Roman" w:hAnsi="Times New Roman" w:eastAsia="MS Mincho"/>
          <w:b w:val="0"/>
          <w:i w:val="0"/>
          <w:sz w:val="24"/>
        </w:rPr>
        <w:t xml:space="preserve"> when evaluated only on in-sample growth-rate residuals, as Koeva (2000) also found. In-sample level MAPE improves monotonically from M0 (4.10 %) to M4 (4.06 %). These apparently small in-sample differences conceal much larger out-of-sample differences, which we turn to next.</w:t>
      </w:r>
    </w:p>
    <w:p>
      <w:pPr>
        <w:spacing w:before="360" w:after="120" w:line="360" w:lineRule="auto"/>
      </w:pPr>
      <w:r>
        <w:rPr>
          <w:rFonts w:ascii="Times New Roman" w:hAnsi="Times New Roman" w:eastAsia="MS Mincho"/>
          <w:b/>
          <w:i w:val="0"/>
          <w:sz w:val="24"/>
        </w:rPr>
        <w:t>5.2 Out-of-sample prediction gains from the tempo correction</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en.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Fig. 1. </w:t>
      </w:r>
      <w:r>
        <w:rPr>
          <w:rFonts w:ascii="Times New Roman" w:hAnsi="Times New Roman" w:eastAsia="MS Mincho"/>
          <w:b w:val="0"/>
          <w:i w:val="0"/>
          <w:sz w:val="20"/>
        </w:rPr>
        <w:t>In-sample 1-year GDP growth RMSE across M0-M4 for 39 countries (lower is better).</w:t>
      </w:r>
    </w:p>
    <w:p>
      <w:pPr>
        <w:spacing w:after="120" w:line="360" w:lineRule="auto"/>
        <w:ind w:firstLine="480"/>
      </w:pPr>
      <w:r>
        <w:rPr>
          <w:rFonts w:ascii="Times New Roman" w:hAnsi="Times New Roman" w:eastAsia="MS Mincho"/>
          <w:b w:val="0"/>
          <w:i w:val="0"/>
          <w:sz w:val="24"/>
        </w:rPr>
        <w:t>Figure 1 ranks the 39 countries by in-sample growth RMSE (M0) and overlays the other four models. The gains from moving from M0 to M2 or M4 are small but systematic, consistent with Table 1.</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en.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2. </w:t>
      </w:r>
      <w:r>
        <w:rPr>
          <w:rFonts w:ascii="Times New Roman" w:hAnsi="Times New Roman" w:eastAsia="MS Mincho"/>
          <w:b w:val="0"/>
          <w:i w:val="0"/>
          <w:sz w:val="20"/>
        </w:rPr>
        <w:t>Out-of-sample MAPE on 2015-19 held-out window; M2 achieves 13% relative improvement vs M0.</w:t>
      </w:r>
    </w:p>
    <w:p>
      <w:pPr>
        <w:spacing w:after="120" w:line="360" w:lineRule="auto"/>
        <w:ind w:firstLine="480"/>
      </w:pPr>
      <w:r>
        <w:rPr>
          <w:rFonts w:ascii="Times New Roman" w:hAnsi="Times New Roman" w:eastAsia="MS Mincho"/>
          <w:b w:val="0"/>
          <w:i w:val="0"/>
          <w:sz w:val="24"/>
        </w:rPr>
        <w:t xml:space="preserve">Figure 2 shows the real pay-off from the tempo correction. With parameters fit on 1970–2014 and level forecasts produced for 2015–2019, the </w:t>
      </w:r>
      <w:r>
        <w:rPr>
          <w:rFonts w:ascii="Times New Roman" w:hAnsi="Times New Roman" w:eastAsia="MS Mincho"/>
          <w:b/>
          <w:i w:val="0"/>
          <w:sz w:val="24"/>
        </w:rPr>
        <w:t>median out-of-sample MAPE falls from 4.60 % under the Solow baseline M0 to 3.99 % under the time-varying-lag M2</w:t>
      </w:r>
      <w:r>
        <w:rPr>
          <w:rFonts w:ascii="Times New Roman" w:hAnsi="Times New Roman" w:eastAsia="MS Mincho"/>
          <w:b w:val="0"/>
          <w:i w:val="0"/>
          <w:sz w:val="24"/>
        </w:rPr>
        <w:t xml:space="preserve">, a 13 % relative reduction. M1 (constant lag) achieves most of the gain (4.06 %), confirming that the bulk of the improvement comes from recognising that investment </w:t>
      </w:r>
      <w:r>
        <w:rPr>
          <w:rFonts w:ascii="Times New Roman" w:hAnsi="Times New Roman" w:eastAsia="MS Mincho"/>
          <w:b w:val="0"/>
          <w:i/>
          <w:sz w:val="24"/>
        </w:rPr>
        <w:t>has</w:t>
      </w:r>
      <w:r>
        <w:rPr>
          <w:rFonts w:ascii="Times New Roman" w:hAnsi="Times New Roman" w:eastAsia="MS Mincho"/>
          <w:b w:val="0"/>
          <w:i w:val="0"/>
          <w:sz w:val="24"/>
        </w:rPr>
        <w:t xml:space="preserve"> a lag, with a residual gain from letting that lag drift. M3 (intangibles) slightly worsens out-of-sample MAPE to 4.72 %; we attribute this to the fact that adding a co-moving factor with a time-varying productivity projection widens forecast uncertainty, especially under the 2015–2019 global slowdown that affected R&amp;D-intensive countries disproportionately. M4 (joint) returns to 4.61 %, close to M0.</w:t>
      </w:r>
    </w:p>
    <w:p>
      <w:pPr>
        <w:spacing w:after="120" w:line="360" w:lineRule="auto"/>
        <w:ind w:firstLine="480"/>
      </w:pPr>
      <w:r>
        <w:rPr>
          <w:rFonts w:ascii="Times New Roman" w:hAnsi="Times New Roman" w:eastAsia="MS Mincho"/>
          <w:b w:val="0"/>
          <w:i w:val="0"/>
          <w:sz w:val="24"/>
        </w:rPr>
        <w:t>The practical take-away is that recognising time-to-build is the single most valuable specification change: it buys a level-forecast accuracy improvement comparable to what fully stochastic TFP models deliver (Smets and Wouters, 2007), but without any new stochastic-modelling machinery.</w:t>
      </w:r>
    </w:p>
    <w:p>
      <w:pPr>
        <w:spacing w:after="120" w:line="360" w:lineRule="auto"/>
        <w:ind w:firstLine="480"/>
      </w:pPr>
      <w:r>
        <w:rPr>
          <w:rFonts w:ascii="Times New Roman" w:hAnsi="Times New Roman" w:eastAsia="MS Mincho"/>
          <w:b w:val="0"/>
          <w:i w:val="0"/>
          <w:sz w:val="24"/>
        </w:rPr>
        <w:t xml:space="preserve">Decomposing the 13 % relative improvement by country group sharpens the picture. Among the ten economies with the highest R&amp;D-to-GDP ratios in our sample (Israel, Republic of Korea, Sweden, Austria, Japan, Germany, Denmark, Finland, Belgium, United States), the M0→M2 improvement is 17.4 % on average; among the ten with the lowest R&amp;D intensity (Mexico, Colombia, Turkey, Chile, Greece, Portugal, Spain, Italy, Slovakia, Latvia), it is only 6.2 %. This pattern is exactly what the tempo-effect interpretation predicts: tempo drift matters most where the asset mix is shifting most rapidly, which is where intangible investment is growing fastest. Countries in which the asset mix was stable over 1995-2019 have little room for </w:t>
      </w:r>
      <w:r>
        <w:rPr>
          <w:rFonts w:ascii="Times New Roman" w:hAnsi="Times New Roman" w:eastAsia="MS Mincho"/>
          <w:b w:val="0"/>
          <w:i/>
          <w:sz w:val="24"/>
        </w:rPr>
        <w:t>μ</w:t>
      </w:r>
      <w:r>
        <w:rPr>
          <w:rFonts w:ascii="Times New Roman" w:hAnsi="Times New Roman" w:eastAsia="MS Mincho"/>
          <w:b w:val="0"/>
          <w:i w:val="0"/>
          <w:sz w:val="24"/>
        </w:rPr>
        <w:t xml:space="preserve">(t) to matter, and indeed M0 is close to best for them. The same decomposition under M4 (joint) reveals that the joint-identification pay-off is concentrated in a different subset of countries — namely those for which CWON has the richest produced-capital accounts (United States, United Kingdom, Germany, France, Canada), where the wealth-side constraint meaningfully bounds </w:t>
      </w:r>
      <w:r>
        <w:rPr>
          <w:rFonts w:ascii="Times New Roman" w:hAnsi="Times New Roman" w:eastAsia="MS Mincho"/>
          <w:b w:val="0"/>
          <w:i/>
          <w:sz w:val="24"/>
        </w:rPr>
        <w:t>β</w:t>
      </w:r>
      <w:r>
        <w:rPr>
          <w:rFonts w:ascii="Times New Roman" w:hAnsi="Times New Roman" w:eastAsia="MS Mincho"/>
          <w:b w:val="0"/>
          <w:i w:val="0"/>
          <w:sz w:val="24"/>
        </w:rPr>
        <w:t xml:space="preserve"> even when the production-side residuals alone do not.</w:t>
      </w:r>
    </w:p>
    <w:p>
      <w:pPr>
        <w:spacing w:before="360" w:after="120" w:line="360" w:lineRule="auto"/>
      </w:pPr>
      <w:r>
        <w:rPr>
          <w:rFonts w:ascii="Times New Roman" w:hAnsi="Times New Roman" w:eastAsia="MS Mincho"/>
          <w:b/>
          <w:i w:val="0"/>
          <w:sz w:val="24"/>
        </w:rPr>
        <w:t>5.3 Flow–stock consistency</w:t>
      </w:r>
    </w:p>
    <w:p>
      <w:pPr>
        <w:spacing w:before="360" w:after="120"/>
        <w:jc w:val="center"/>
      </w:pPr>
      <w:r>
        <w:drawing>
          <wp:inline xmlns:a="http://schemas.openxmlformats.org/drawingml/2006/main" xmlns:pic="http://schemas.openxmlformats.org/drawingml/2006/picture">
            <wp:extent cx="5669280" cy="3451098"/>
            <wp:docPr id="3" name="Picture 3"/>
            <wp:cNvGraphicFramePr>
              <a:graphicFrameLocks noChangeAspect="1"/>
            </wp:cNvGraphicFramePr>
            <a:graphic>
              <a:graphicData uri="http://schemas.openxmlformats.org/drawingml/2006/picture">
                <pic:pic>
                  <pic:nvPicPr>
                    <pic:cNvPr id="0" name="fig3_trajectories_en.png"/>
                    <pic:cNvPicPr/>
                  </pic:nvPicPr>
                  <pic:blipFill>
                    <a:blip r:embed="rId11"/>
                    <a:stretch>
                      <a:fillRect/>
                    </a:stretch>
                  </pic:blipFill>
                  <pic:spPr>
                    <a:xfrm>
                      <a:off x="0" y="0"/>
                      <a:ext cx="5669280" cy="3451098"/>
                    </a:xfrm>
                    <a:prstGeom prst="rect"/>
                  </pic:spPr>
                </pic:pic>
              </a:graphicData>
            </a:graphic>
          </wp:inline>
        </w:drawing>
      </w:r>
    </w:p>
    <w:p>
      <w:pPr>
        <w:spacing w:after="240"/>
        <w:jc w:val="center"/>
      </w:pPr>
      <w:r>
        <w:rPr>
          <w:rFonts w:ascii="Times New Roman" w:hAnsi="Times New Roman" w:eastAsia="MS Mincho"/>
          <w:b/>
          <w:i w:val="0"/>
          <w:sz w:val="20"/>
        </w:rPr>
        <w:t xml:space="preserve">Fig. 3. </w:t>
      </w:r>
      <w:r>
        <w:rPr>
          <w:rFonts w:ascii="Times New Roman" w:hAnsi="Times New Roman" w:eastAsia="MS Mincho"/>
          <w:b w:val="0"/>
          <w:i w:val="0"/>
          <w:sz w:val="20"/>
        </w:rPr>
        <w:t>PIM stock K_tang+betaK_I versus CWON PCA (within-country demeaned log).</w:t>
      </w:r>
    </w:p>
    <w:p>
      <w:pPr>
        <w:spacing w:after="120" w:line="360" w:lineRule="auto"/>
        <w:ind w:firstLine="480"/>
      </w:pPr>
      <w:r>
        <w:rPr>
          <w:rFonts w:ascii="Times New Roman" w:hAnsi="Times New Roman" w:eastAsia="MS Mincho"/>
          <w:b w:val="0"/>
          <w:i w:val="0"/>
          <w:sz w:val="24"/>
        </w:rPr>
        <w:t xml:space="preserve">Figure 3 shows PIM-reconstructed capital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alongside CWON-produced capital NW.PCA.TO, both within-country demeaned in log space, for six representative countries. This within-country demeaning is what the joint loss </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penalises in equation (2); raw-level comparisons are dominated by PPP-vs-market-exchange-rate unit differences and by the fact that PWT uses a 2017-base chained index while CWON uses a 2019-base current-dollar index. After demeaning, both series have identical mean zero by construction, and the </w:t>
      </w:r>
      <w:r>
        <w:rPr>
          <w:rFonts w:ascii="Times New Roman" w:hAnsi="Times New Roman" w:eastAsia="MS Mincho"/>
          <w:b w:val="0"/>
          <w:i/>
          <w:sz w:val="24"/>
        </w:rPr>
        <w:t>shape</w:t>
      </w:r>
      <w:r>
        <w:rPr>
          <w:rFonts w:ascii="Times New Roman" w:hAnsi="Times New Roman" w:eastAsia="MS Mincho"/>
          <w:b w:val="0"/>
          <w:i w:val="0"/>
          <w:sz w:val="24"/>
        </w:rPr>
        <w:t xml:space="preserve"> of the trajectories is what has to agree if the two accounts represent the same latent stock. The United States, Republic of Korea, and Israel — three R&amp;D-intensive economies — show near-identity: the PIM series tracks CWON to within 1–2 % in log terms over the full 1995–2019 window. Germany and the Netherlands show small but visible widening after 2010, which is consistent with the delayed SNA 2008 incorporation of R&amp;D on the CWON side. Japan is the outlier: from 2010 onward, the PIM series continues to rise while CWON PCA turns flat or declines, a gap of roughly 0.05–0.08 log units by 2019 (about 5–8 %).</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en.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4. </w:t>
      </w:r>
      <w:r>
        <w:rPr>
          <w:rFonts w:ascii="Times New Roman" w:hAnsi="Times New Roman" w:eastAsia="MS Mincho"/>
          <w:b w:val="0"/>
          <w:i w:val="0"/>
          <w:sz w:val="20"/>
        </w:rPr>
        <w:t>gamma_price sensitivity of PIM/CWON log-ratio; Japan gap closes around gamma=+0.02.</w:t>
      </w:r>
    </w:p>
    <w:p>
      <w:pPr>
        <w:spacing w:after="120" w:line="360" w:lineRule="auto"/>
        <w:ind w:firstLine="480"/>
      </w:pPr>
      <w:r>
        <w:rPr>
          <w:rFonts w:ascii="Times New Roman" w:hAnsi="Times New Roman" w:eastAsia="MS Mincho"/>
          <w:b w:val="0"/>
          <w:i w:val="0"/>
          <w:sz w:val="24"/>
        </w:rPr>
        <w:t xml:space="preserve">Figure 4 examines whether the Japan anomaly is driven by an asset-price revaluation effect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rather than by a real stock discrepancy. A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+0.04] shifts the Japanese log-ratio by roughly 0.25 log units in total, implying that the observed ~0.06-log-unit gap corresponds to a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 0.02 per year — exactly the order of magnitude of the Japanese land-price deflation from 1995 to 2005. The gap is therefore a revaluation artefact, not a real capital-quantity discrepancy, supporting Hamano and Zhao (2017) and the standard view that Japanese "lost-decade" wealth accounting is dominated by price rather than quantity effects.</w:t>
      </w:r>
    </w:p>
    <w:p>
      <w:pPr>
        <w:spacing w:before="360" w:after="120" w:line="360" w:lineRule="auto"/>
      </w:pPr>
      <w:r>
        <w:rPr>
          <w:rFonts w:ascii="Times New Roman" w:hAnsi="Times New Roman" w:eastAsia="MS Mincho"/>
          <w:b/>
          <w:i w:val="0"/>
          <w:sz w:val="24"/>
        </w:rPr>
        <w:t>5.4 Joint identification: bootstrap CIs on (μ̂, β̂)</w:t>
      </w:r>
    </w:p>
    <w:p>
      <w:pPr>
        <w:spacing w:before="360" w:after="120"/>
        <w:jc w:val="center"/>
      </w:pPr>
      <w:r>
        <w:drawing>
          <wp:inline xmlns:a="http://schemas.openxmlformats.org/drawingml/2006/main" xmlns:pic="http://schemas.openxmlformats.org/drawingml/2006/picture">
            <wp:extent cx="5669280" cy="3094071"/>
            <wp:docPr id="5" name="Picture 5"/>
            <wp:cNvGraphicFramePr>
              <a:graphicFrameLocks noChangeAspect="1"/>
            </wp:cNvGraphicFramePr>
            <a:graphic>
              <a:graphicData uri="http://schemas.openxmlformats.org/drawingml/2006/picture">
                <pic:pic>
                  <pic:nvPicPr>
                    <pic:cNvPr id="0" name="fig5_concept_en.png"/>
                    <pic:cNvPicPr/>
                  </pic:nvPicPr>
                  <pic:blipFill>
                    <a:blip r:embed="rId13"/>
                    <a:stretch>
                      <a:fillRect/>
                    </a:stretch>
                  </pic:blipFill>
                  <pic:spPr>
                    <a:xfrm>
                      <a:off x="0" y="0"/>
                      <a:ext cx="5669280" cy="3094071"/>
                    </a:xfrm>
                    <a:prstGeom prst="rect"/>
                  </pic:spPr>
                </pic:pic>
              </a:graphicData>
            </a:graphic>
          </wp:inline>
        </w:drawing>
      </w:r>
    </w:p>
    <w:p>
      <w:pPr>
        <w:spacing w:after="240"/>
        <w:jc w:val="center"/>
      </w:pPr>
      <w:r>
        <w:rPr>
          <w:rFonts w:ascii="Times New Roman" w:hAnsi="Times New Roman" w:eastAsia="MS Mincho"/>
          <w:b/>
          <w:i w:val="0"/>
          <w:sz w:val="20"/>
        </w:rPr>
        <w:t xml:space="preserve">Fig. 5. </w:t>
      </w:r>
      <w:r>
        <w:rPr>
          <w:rFonts w:ascii="Times New Roman" w:hAnsi="Times New Roman" w:eastAsia="MS Mincho"/>
          <w:b w:val="0"/>
          <w:i w:val="0"/>
          <w:sz w:val="20"/>
        </w:rPr>
        <w:t>Conceptual diagram of the population-capital tempo correspondence.</w:t>
      </w:r>
    </w:p>
    <w:p>
      <w:pPr>
        <w:spacing w:after="120" w:line="360" w:lineRule="auto"/>
        <w:ind w:firstLine="480"/>
      </w:pPr>
      <w:r>
        <w:rPr>
          <w:rFonts w:ascii="Times New Roman" w:hAnsi="Times New Roman" w:eastAsia="MS Mincho"/>
          <w:b w:val="0"/>
          <w:i w:val="0"/>
          <w:sz w:val="24"/>
        </w:rPr>
        <w:t>(Conceptual diagram Figure 5 is placed here to remind the reader of the population–capital correspondence, which motivates the joint identification.)</w:t>
      </w:r>
    </w:p>
    <w:p>
      <w:pPr>
        <w:spacing w:after="120" w:line="360" w:lineRule="auto"/>
        <w:ind w:firstLine="480"/>
      </w:pPr>
      <w:r>
        <w:rPr>
          <w:rFonts w:ascii="Times New Roman" w:hAnsi="Times New Roman" w:eastAsia="MS Mincho"/>
          <w:b w:val="0"/>
          <w:i w:val="0"/>
          <w:sz w:val="24"/>
        </w:rPr>
        <w:t xml:space="preserve">Bootstrap confidence intervals on the joint estimates (Fig. 3) show that, country by country, </w:t>
      </w:r>
      <w:r>
        <w:rPr>
          <w:rFonts w:ascii="Times New Roman" w:hAnsi="Times New Roman" w:eastAsia="MS Mincho"/>
          <w:b w:val="0"/>
          <w:i/>
          <w:sz w:val="24"/>
        </w:rPr>
        <w:t>μ</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are only weakly identified from production-side residuals alone — the median 95 % interval on </w:t>
      </w:r>
      <w:r>
        <w:rPr>
          <w:rFonts w:ascii="Times New Roman" w:hAnsi="Times New Roman" w:eastAsia="MS Mincho"/>
          <w:b w:val="0"/>
          <w:i/>
          <w:sz w:val="24"/>
        </w:rPr>
        <w:t>μ</w:t>
      </w:r>
      <w:r>
        <w:rPr>
          <w:rFonts w:ascii="Times New Roman" w:hAnsi="Times New Roman" w:eastAsia="MS Mincho"/>
          <w:b w:val="0"/>
          <w:i w:val="0"/>
          <w:sz w:val="24"/>
        </w:rPr>
        <w:t xml:space="preserve"> spans almost the entire grid [0.01, 6.0], and the median interval on </w:t>
      </w:r>
      <w:r>
        <w:rPr>
          <w:rFonts w:ascii="Times New Roman" w:hAnsi="Times New Roman" w:eastAsia="MS Mincho"/>
          <w:b w:val="0"/>
          <w:i/>
          <w:sz w:val="24"/>
        </w:rPr>
        <w:t>β</w:t>
      </w:r>
      <w:r>
        <w:rPr>
          <w:rFonts w:ascii="Times New Roman" w:hAnsi="Times New Roman" w:eastAsia="MS Mincho"/>
          <w:b w:val="0"/>
          <w:i w:val="0"/>
          <w:sz w:val="24"/>
        </w:rPr>
        <w:t xml:space="preserve"> spans about 70 % of its grid [0.0, 0.34]. Adding the wealth-side constraint tightens both substantially: joint identification rejects </w:t>
      </w:r>
      <w:r>
        <w:rPr>
          <w:rFonts w:ascii="Times New Roman" w:hAnsi="Times New Roman" w:eastAsia="MS Mincho"/>
          <w:b w:val="0"/>
          <w:i/>
          <w:sz w:val="24"/>
        </w:rPr>
        <w:t>μ</w:t>
      </w:r>
      <w:r>
        <w:rPr>
          <w:rFonts w:ascii="Times New Roman" w:hAnsi="Times New Roman" w:eastAsia="MS Mincho"/>
          <w:b w:val="0"/>
          <w:i w:val="0"/>
          <w:sz w:val="24"/>
        </w:rPr>
        <w:t xml:space="preserve"> = 0 for 35 of 39 countries at 5 % and </w:t>
      </w:r>
      <w:r>
        <w:rPr>
          <w:rFonts w:ascii="Times New Roman" w:hAnsi="Times New Roman" w:eastAsia="MS Mincho"/>
          <w:b w:val="0"/>
          <w:i/>
          <w:sz w:val="24"/>
        </w:rPr>
        <w:t>β</w:t>
      </w:r>
      <w:r>
        <w:rPr>
          <w:rFonts w:ascii="Times New Roman" w:hAnsi="Times New Roman" w:eastAsia="MS Mincho"/>
          <w:b w:val="0"/>
          <w:i w:val="0"/>
          <w:sz w:val="24"/>
        </w:rPr>
        <w:t xml:space="preserve"> = 0 for 28 of 39 countries. This is the main methodological pay-off of the unified framework: neither production nor wealth alone pins down the structural parameters; together they do.</w:t>
      </w:r>
    </w:p>
    <w:p>
      <w:pPr>
        <w:spacing w:after="120" w:line="360" w:lineRule="auto"/>
        <w:ind w:firstLine="480"/>
      </w:pPr>
      <w:r>
        <w:rPr>
          <w:rFonts w:ascii="Times New Roman" w:hAnsi="Times New Roman" w:eastAsia="MS Mincho"/>
          <w:b w:val="0"/>
          <w:i w:val="0"/>
          <w:sz w:val="24"/>
        </w:rPr>
        <w:t xml:space="preserve">A second way to read the bootstrap evidence is that the </w:t>
      </w:r>
      <w:r>
        <w:rPr>
          <w:rFonts w:ascii="Times New Roman" w:hAnsi="Times New Roman" w:eastAsia="MS Mincho"/>
          <w:b w:val="0"/>
          <w:i/>
          <w:sz w:val="24"/>
        </w:rPr>
        <w:t>shape</w:t>
      </w:r>
      <w:r>
        <w:rPr>
          <w:rFonts w:ascii="Times New Roman" w:hAnsi="Times New Roman" w:eastAsia="MS Mincho"/>
          <w:b w:val="0"/>
          <w:i w:val="0"/>
          <w:sz w:val="24"/>
        </w:rPr>
        <w:t xml:space="preserve"> of the 95 % region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is strongly country-specific. For R&amp;D-intensive economies (Israel, Republic of Korea, Sweden, the United States) the posterior region is a tight ellipse in the north-east quadrant (</w:t>
      </w:r>
      <w:r>
        <w:rPr>
          <w:rFonts w:ascii="Times New Roman" w:hAnsi="Times New Roman" w:eastAsia="MS Mincho"/>
          <w:b w:val="0"/>
          <w:i/>
          <w:sz w:val="24"/>
        </w:rPr>
        <w:t>μ</w:t>
      </w:r>
      <w:r>
        <w:rPr>
          <w:rFonts w:ascii="Times New Roman" w:hAnsi="Times New Roman" w:eastAsia="MS Mincho"/>
          <w:b w:val="0"/>
          <w:i w:val="0"/>
          <w:sz w:val="24"/>
        </w:rPr>
        <w:t xml:space="preserve"> ≥ 0.3 years, </w:t>
      </w:r>
      <w:r>
        <w:rPr>
          <w:rFonts w:ascii="Times New Roman" w:hAnsi="Times New Roman" w:eastAsia="MS Mincho"/>
          <w:b w:val="0"/>
          <w:i/>
          <w:sz w:val="24"/>
        </w:rPr>
        <w:t>β</w:t>
      </w:r>
      <w:r>
        <w:rPr>
          <w:rFonts w:ascii="Times New Roman" w:hAnsi="Times New Roman" w:eastAsia="MS Mincho"/>
          <w:b w:val="0"/>
          <w:i w:val="0"/>
          <w:sz w:val="24"/>
        </w:rPr>
        <w:t xml:space="preserve"> ≥ 0.08), implying that both tempo and intangible corrections are operative and separable. For asset-mix-stable economies (Mexico, Colombia, Turkey, Chile) the region is a wide diagonal ridge: the likelihood surface is nearly flat along a line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and the data support, with roughly equal probability, either a short tempo with a large intangible share or a long tempo with a small intangible share. This is the classical identification problem of additive decompositions; what the joint-identification framework contributes is that the ridge collapses to a point only after the wealth constraint is added. The sharpness of the collapse is itself diagnostic: countries for which the 95 % region remains a broad ridge even under joint identification are exactly those for which CWON coverage is thinner, and country-specific conclusions for those economies should be cross-checked with national-accounts micro-data before being used for policy. Reporting the shape of the 95 % region, rather than only the point estimate, is therefore a concrete recommendation for future CWON-style publications.</w:t>
      </w:r>
    </w:p>
    <w:p>
      <w:pPr>
        <w:spacing w:before="360" w:after="120" w:line="360" w:lineRule="auto"/>
      </w:pPr>
      <w:r>
        <w:rPr>
          <w:rFonts w:ascii="Times New Roman" w:hAnsi="Times New Roman" w:eastAsia="MS Mincho"/>
          <w:b/>
          <w:i w:val="0"/>
          <w:sz w:val="24"/>
        </w:rPr>
        <w:t>5.5 Relational PIM diagnostics</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en.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Fig. 6. </w:t>
      </w:r>
      <w:r>
        <w:rPr>
          <w:rFonts w:ascii="Times New Roman" w:hAnsi="Times New Roman" w:eastAsia="MS Mincho"/>
          <w:b w:val="0"/>
          <w:i w:val="0"/>
          <w:sz w:val="20"/>
        </w:rPr>
        <w:t>Relational PIM diagnostics: rho_2 across 39 countries under M0 vs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4"/>
        </w:rPr>
        <w:t xml:space="preserve">Figure 6 and Table 3 report the Relational PIM diagnostics defined in Sect. 3.5. Two findings stand out. First, under M0 (instant PIM, </w:t>
      </w:r>
      <w:r>
        <w:rPr>
          <w:rFonts w:ascii="Times New Roman" w:hAnsi="Times New Roman" w:eastAsia="MS Mincho"/>
          <w:b w:val="0"/>
          <w:i/>
          <w:sz w:val="24"/>
        </w:rPr>
        <w:t>β</w:t>
      </w:r>
      <w:r>
        <w:rPr>
          <w:rFonts w:ascii="Times New Roman" w:hAnsi="Times New Roman" w:eastAsia="MS Mincho"/>
          <w:b w:val="0"/>
          <w:i w:val="0"/>
          <w:sz w:val="24"/>
        </w:rPr>
        <w:t xml:space="preserve"> = 0) the median </w:t>
      </w:r>
      <w:r>
        <w:rPr>
          <w:rFonts w:ascii="Times New Roman" w:hAnsi="Times New Roman" w:eastAsia="MS Mincho"/>
          <w:b w:val="0"/>
          <w:i/>
          <w:sz w:val="24"/>
        </w:rPr>
        <w:t>ρ</w:t>
      </w:r>
      <w:r>
        <w:rPr>
          <w:rFonts w:ascii="Times New Roman" w:hAnsi="Times New Roman" w:eastAsia="MS Mincho"/>
          <w:b w:val="0"/>
          <w:i w:val="0"/>
          <w:sz w:val="24"/>
        </w:rPr>
        <w:t xml:space="preserve">̂₂ across 39 countries is 0.801, substantially below the consistency benchmark of 1.0. Only 9 of 39 countries have </w:t>
      </w:r>
      <w:r>
        <w:rPr>
          <w:rFonts w:ascii="Times New Roman" w:hAnsi="Times New Roman" w:eastAsia="MS Mincho"/>
          <w:b w:val="0"/>
          <w:i/>
          <w:sz w:val="24"/>
        </w:rPr>
        <w:t>ρ</w:t>
      </w:r>
      <w:r>
        <w:rPr>
          <w:rFonts w:ascii="Times New Roman" w:hAnsi="Times New Roman" w:eastAsia="MS Mincho"/>
          <w:b w:val="0"/>
          <w:i w:val="0"/>
          <w:sz w:val="24"/>
        </w:rPr>
        <w:t xml:space="preserve">̂₂ ∈ [0.9, 1.1]. This confirms that the standard PIM systematically understates capital growth relative to CWON — or equivalently, that CWON captures a faster-growing component of the capital stock (plausibly intangibles and revaluations) that the PIM misses. Second, under M4 (joint tempo + intangible identification) the median </w:t>
      </w:r>
      <w:r>
        <w:rPr>
          <w:rFonts w:ascii="Times New Roman" w:hAnsi="Times New Roman" w:eastAsia="MS Mincho"/>
          <w:b w:val="0"/>
          <w:i/>
          <w:sz w:val="24"/>
        </w:rPr>
        <w:t>ρ</w:t>
      </w:r>
      <w:r>
        <w:rPr>
          <w:rFonts w:ascii="Times New Roman" w:hAnsi="Times New Roman" w:eastAsia="MS Mincho"/>
          <w:b w:val="0"/>
          <w:i w:val="0"/>
          <w:sz w:val="24"/>
        </w:rPr>
        <w:t>̂₂ rises to 0.833, and the number of countries in the [0.9, 1.1] consistency band increases from 9 to 12. The improvement is modest but systematic: the tempo and intangible corrections move the PIM–CWON relationship toward consistency in the right direction. The median R² exceeds 0.99 under both M0 and M4, confirming that the log-linear relationship (M5) is an excellent description of the PIM–CWON mapping.</w:t>
      </w:r>
    </w:p>
    <w:p>
      <w:pPr>
        <w:spacing w:after="120" w:line="360" w:lineRule="auto"/>
        <w:ind w:firstLine="480"/>
      </w:pPr>
      <w:r>
        <w:rPr>
          <w:rFonts w:ascii="Times New Roman" w:hAnsi="Times New Roman" w:eastAsia="MS Mincho"/>
          <w:b w:val="0"/>
          <w:i w:val="0"/>
          <w:sz w:val="24"/>
        </w:rPr>
        <w:t xml:space="preserve">Figure 6(b) plots </w:t>
      </w:r>
      <w:r>
        <w:rPr>
          <w:rFonts w:ascii="Times New Roman" w:hAnsi="Times New Roman" w:eastAsia="MS Mincho"/>
          <w:b w:val="0"/>
          <w:i/>
          <w:sz w:val="24"/>
        </w:rPr>
        <w:t>ρ</w:t>
      </w:r>
      <w:r>
        <w:rPr>
          <w:rFonts w:ascii="Times New Roman" w:hAnsi="Times New Roman" w:eastAsia="MS Mincho"/>
          <w:b w:val="0"/>
          <w:i w:val="0"/>
          <w:sz w:val="24"/>
        </w:rPr>
        <w:t xml:space="preserve">̂₁ against </w:t>
      </w:r>
      <w:r>
        <w:rPr>
          <w:rFonts w:ascii="Times New Roman" w:hAnsi="Times New Roman" w:eastAsia="MS Mincho"/>
          <w:b w:val="0"/>
          <w:i/>
          <w:sz w:val="24"/>
        </w:rPr>
        <w:t>ρ</w:t>
      </w:r>
      <w:r>
        <w:rPr>
          <w:rFonts w:ascii="Times New Roman" w:hAnsi="Times New Roman" w:eastAsia="MS Mincho"/>
          <w:b w:val="0"/>
          <w:i w:val="0"/>
          <w:sz w:val="24"/>
        </w:rPr>
        <w:t>̂₂ under M4. Countries that are far from the (</w:t>
      </w:r>
      <w:r>
        <w:rPr>
          <w:rFonts w:ascii="Times New Roman" w:hAnsi="Times New Roman" w:eastAsia="MS Mincho"/>
          <w:b w:val="0"/>
          <w:i/>
          <w:sz w:val="24"/>
        </w:rPr>
        <w:t>ρ</w:t>
      </w:r>
      <w:r>
        <w:rPr>
          <w:rFonts w:ascii="Times New Roman" w:hAnsi="Times New Roman" w:eastAsia="MS Mincho"/>
          <w:b w:val="0"/>
          <w:i w:val="0"/>
          <w:sz w:val="24"/>
        </w:rPr>
        <w:t xml:space="preserve">₁ = 0, </w:t>
      </w:r>
      <w:r>
        <w:rPr>
          <w:rFonts w:ascii="Times New Roman" w:hAnsi="Times New Roman" w:eastAsia="MS Mincho"/>
          <w:b w:val="0"/>
          <w:i/>
          <w:sz w:val="24"/>
        </w:rPr>
        <w:t>ρ</w:t>
      </w:r>
      <w:r>
        <w:rPr>
          <w:rFonts w:ascii="Times New Roman" w:hAnsi="Times New Roman" w:eastAsia="MS Mincho"/>
          <w:b w:val="0"/>
          <w:i w:val="0"/>
          <w:sz w:val="24"/>
        </w:rPr>
        <w:t>₂ = 1) reference point — notably Switzerland (</w:t>
      </w:r>
      <w:r>
        <w:rPr>
          <w:rFonts w:ascii="Times New Roman" w:hAnsi="Times New Roman" w:eastAsia="MS Mincho"/>
          <w:b w:val="0"/>
          <w:i/>
          <w:sz w:val="24"/>
        </w:rPr>
        <w:t>ρ</w:t>
      </w:r>
      <w:r>
        <w:rPr>
          <w:rFonts w:ascii="Times New Roman" w:hAnsi="Times New Roman" w:eastAsia="MS Mincho"/>
          <w:b w:val="0"/>
          <w:i w:val="0"/>
          <w:sz w:val="24"/>
        </w:rPr>
        <w:t>̂₂ ≈ 0.40), Poland (</w:t>
      </w:r>
      <w:r>
        <w:rPr>
          <w:rFonts w:ascii="Times New Roman" w:hAnsi="Times New Roman" w:eastAsia="MS Mincho"/>
          <w:b w:val="0"/>
          <w:i/>
          <w:sz w:val="24"/>
        </w:rPr>
        <w:t>ρ</w:t>
      </w:r>
      <w:r>
        <w:rPr>
          <w:rFonts w:ascii="Times New Roman" w:hAnsi="Times New Roman" w:eastAsia="MS Mincho"/>
          <w:b w:val="0"/>
          <w:i w:val="0"/>
          <w:sz w:val="24"/>
        </w:rPr>
        <w:t>̂₂ ≈ 0.60), and Norway (</w:t>
      </w:r>
      <w:r>
        <w:rPr>
          <w:rFonts w:ascii="Times New Roman" w:hAnsi="Times New Roman" w:eastAsia="MS Mincho"/>
          <w:b w:val="0"/>
          <w:i/>
          <w:sz w:val="24"/>
        </w:rPr>
        <w:t>ρ</w:t>
      </w:r>
      <w:r>
        <w:rPr>
          <w:rFonts w:ascii="Times New Roman" w:hAnsi="Times New Roman" w:eastAsia="MS Mincho"/>
          <w:b w:val="0"/>
          <w:i w:val="0"/>
          <w:sz w:val="24"/>
        </w:rPr>
        <w:t xml:space="preserve">̂₂ ≈ 0.66) — are exactly those for which the PIM and CWON accounts are known to differ most in asset coverage or in the treatment of natural-resource rents. The RPIM diagnostic therefore serves as a simple, interpretable quality-control tool for national capital accounts: a country whose </w:t>
      </w:r>
      <w:r>
        <w:rPr>
          <w:rFonts w:ascii="Times New Roman" w:hAnsi="Times New Roman" w:eastAsia="MS Mincho"/>
          <w:b w:val="0"/>
          <w:i/>
          <w:sz w:val="24"/>
        </w:rPr>
        <w:t>ρ</w:t>
      </w:r>
      <w:r>
        <w:rPr>
          <w:rFonts w:ascii="Times New Roman" w:hAnsi="Times New Roman" w:eastAsia="MS Mincho"/>
          <w:b w:val="0"/>
          <w:i w:val="0"/>
          <w:sz w:val="24"/>
        </w:rPr>
        <w:t>̂₂ deviates markedly from unity warrants closer investigation of the underlying asset-composition assumptions in both accounts.</w:t>
      </w:r>
    </w:p>
    <w:p>
      <w:pPr>
        <w:spacing w:before="360" w:after="120" w:line="360" w:lineRule="auto"/>
      </w:pPr>
      <w:r>
        <w:rPr>
          <w:rFonts w:ascii="Times New Roman" w:hAnsi="Times New Roman" w:eastAsia="MS Mincho"/>
          <w:b/>
          <w:i w:val="0"/>
          <w:sz w:val="24"/>
        </w:rPr>
        <w:t>5.6 Depreciation–lag sensitivity</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en.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7. </w:t>
      </w:r>
      <w:r>
        <w:rPr>
          <w:rFonts w:ascii="Times New Roman" w:hAnsi="Times New Roman" w:eastAsia="MS Mincho"/>
          <w:b w:val="0"/>
          <w:i w:val="0"/>
          <w:sz w:val="20"/>
        </w:rPr>
        <w:t>Delta-mu sensitivity: mu_hat under +/-20% depreciation perturbation.</w:t>
      </w:r>
    </w:p>
    <w:p>
      <w:pPr>
        <w:spacing w:after="120" w:line="360" w:lineRule="auto"/>
        <w:ind w:firstLine="480"/>
      </w:pPr>
      <w:r>
        <w:rPr>
          <w:rFonts w:ascii="Times New Roman" w:hAnsi="Times New Roman" w:eastAsia="MS Mincho"/>
          <w:b w:val="0"/>
          <w:i w:val="0"/>
          <w:sz w:val="24"/>
        </w:rPr>
        <w:t xml:space="preserve">Inklaar's critique (Sect. 6.6) raises the possibility that if the true depreciation rate </w:t>
      </w:r>
      <w:r>
        <w:rPr>
          <w:rFonts w:ascii="Times New Roman" w:hAnsi="Times New Roman" w:eastAsia="MS Mincho"/>
          <w:b w:val="0"/>
          <w:i/>
          <w:sz w:val="24"/>
        </w:rPr>
        <w:t>δ</w:t>
      </w:r>
      <w:r>
        <w:rPr>
          <w:rFonts w:ascii="Times New Roman" w:hAnsi="Times New Roman" w:eastAsia="MS Mincho"/>
          <w:b w:val="0"/>
          <w:i w:val="0"/>
          <w:sz w:val="24"/>
        </w:rPr>
        <w:t xml:space="preserve"> is itself drifting, some of what we attribute to </w:t>
      </w:r>
      <w:r>
        <w:rPr>
          <w:rFonts w:ascii="Times New Roman" w:hAnsi="Times New Roman" w:eastAsia="MS Mincho"/>
          <w:b w:val="0"/>
          <w:i/>
          <w:sz w:val="24"/>
        </w:rPr>
        <w:t>μ</w:t>
      </w:r>
      <w:r>
        <w:rPr>
          <w:rFonts w:ascii="Times New Roman" w:hAnsi="Times New Roman" w:eastAsia="MS Mincho"/>
          <w:b w:val="0"/>
          <w:i w:val="0"/>
          <w:sz w:val="24"/>
        </w:rPr>
        <w:t xml:space="preserve">(t) could instead be absorbed by a time-varying </w:t>
      </w:r>
      <w:r>
        <w:rPr>
          <w:rFonts w:ascii="Times New Roman" w:hAnsi="Times New Roman" w:eastAsia="MS Mincho"/>
          <w:b w:val="0"/>
          <w:i/>
          <w:sz w:val="24"/>
        </w:rPr>
        <w:t>δ</w:t>
      </w:r>
      <w:r>
        <w:rPr>
          <w:rFonts w:ascii="Times New Roman" w:hAnsi="Times New Roman" w:eastAsia="MS Mincho"/>
          <w:b w:val="0"/>
          <w:i w:val="0"/>
          <w:sz w:val="24"/>
        </w:rPr>
        <w:t xml:space="preserve">(t). We address this directly by re-estimating the constant lag </w:t>
      </w:r>
      <w:r>
        <w:rPr>
          <w:rFonts w:ascii="Times New Roman" w:hAnsi="Times New Roman" w:eastAsia="MS Mincho"/>
          <w:b w:val="0"/>
          <w:i/>
          <w:sz w:val="24"/>
        </w:rPr>
        <w:t>μ</w:t>
      </w:r>
      <w:r>
        <w:rPr>
          <w:rFonts w:ascii="Times New Roman" w:hAnsi="Times New Roman" w:eastAsia="MS Mincho"/>
          <w:b w:val="0"/>
          <w:i w:val="0"/>
          <w:sz w:val="24"/>
        </w:rPr>
        <w:t xml:space="preserve">̂ (M1) under five depreciation scenarios: </w:t>
      </w:r>
      <w:r>
        <w:rPr>
          <w:rFonts w:ascii="Times New Roman" w:hAnsi="Times New Roman" w:eastAsia="MS Mincho"/>
          <w:b w:val="0"/>
          <w:i/>
          <w:sz w:val="24"/>
        </w:rPr>
        <w:t>δ</w:t>
      </w:r>
      <w:r>
        <w:rPr>
          <w:rFonts w:ascii="Times New Roman" w:hAnsi="Times New Roman" w:eastAsia="MS Mincho"/>
          <w:b w:val="0"/>
          <w:i w:val="0"/>
          <w:sz w:val="24"/>
        </w:rPr>
        <w:t xml:space="preserve"> × {0.80, 0.90, 1.00, 1.10, 1.20}.</w:t>
      </w:r>
    </w:p>
    <w:p>
      <w:pPr>
        <w:spacing w:after="120" w:line="360" w:lineRule="auto"/>
        <w:ind w:firstLine="480"/>
      </w:pPr>
      <w:r>
        <w:rPr>
          <w:rFonts w:ascii="Times New Roman" w:hAnsi="Times New Roman" w:eastAsia="MS Mincho"/>
          <w:b w:val="0"/>
          <w:i w:val="0"/>
          <w:sz w:val="24"/>
        </w:rPr>
        <w:t xml:space="preserve">Figure 7 shows the results. The main finding is that </w:t>
      </w:r>
      <w:r>
        <w:rPr>
          <w:rFonts w:ascii="Times New Roman" w:hAnsi="Times New Roman" w:eastAsia="MS Mincho"/>
          <w:b w:val="0"/>
          <w:i/>
          <w:sz w:val="24"/>
        </w:rPr>
        <w:t>μ</w:t>
      </w:r>
      <w:r>
        <w:rPr>
          <w:rFonts w:ascii="Times New Roman" w:hAnsi="Times New Roman" w:eastAsia="MS Mincho"/>
          <w:b w:val="0"/>
          <w:i w:val="0"/>
          <w:sz w:val="24"/>
        </w:rPr>
        <w:t xml:space="preserve">̂ is remarkably stable across the ±20% depreciation perturbation for most countries. The cross-country mean </w:t>
      </w:r>
      <w:r>
        <w:rPr>
          <w:rFonts w:ascii="Times New Roman" w:hAnsi="Times New Roman" w:eastAsia="MS Mincho"/>
          <w:b w:val="0"/>
          <w:i/>
          <w:sz w:val="24"/>
        </w:rPr>
        <w:t>μ</w:t>
      </w:r>
      <w:r>
        <w:rPr>
          <w:rFonts w:ascii="Times New Roman" w:hAnsi="Times New Roman" w:eastAsia="MS Mincho"/>
          <w:b w:val="0"/>
          <w:i w:val="0"/>
          <w:sz w:val="24"/>
        </w:rPr>
        <w:t>̂ moves from 1.61 years (</w:t>
      </w:r>
      <w:r>
        <w:rPr>
          <w:rFonts w:ascii="Times New Roman" w:hAnsi="Times New Roman" w:eastAsia="MS Mincho"/>
          <w:b w:val="0"/>
          <w:i/>
          <w:sz w:val="24"/>
        </w:rPr>
        <w:t>δ</w:t>
      </w:r>
      <w:r>
        <w:rPr>
          <w:rFonts w:ascii="Times New Roman" w:hAnsi="Times New Roman" w:eastAsia="MS Mincho"/>
          <w:b w:val="0"/>
          <w:i w:val="0"/>
          <w:sz w:val="24"/>
        </w:rPr>
        <w:t xml:space="preserve"> × 0.80) to 1.52 years (</w:t>
      </w:r>
      <w:r>
        <w:rPr>
          <w:rFonts w:ascii="Times New Roman" w:hAnsi="Times New Roman" w:eastAsia="MS Mincho"/>
          <w:b w:val="0"/>
          <w:i/>
          <w:sz w:val="24"/>
        </w:rPr>
        <w:t>δ</w:t>
      </w:r>
      <w:r>
        <w:rPr>
          <w:rFonts w:ascii="Times New Roman" w:hAnsi="Times New Roman" w:eastAsia="MS Mincho"/>
          <w:b w:val="0"/>
          <w:i w:val="0"/>
          <w:sz w:val="24"/>
        </w:rPr>
        <w:t xml:space="preserve"> × 1.20), a shift of only 0.09 years — less than 6% of the baseline estimate. The median </w:t>
      </w:r>
      <w:r>
        <w:rPr>
          <w:rFonts w:ascii="Times New Roman" w:hAnsi="Times New Roman" w:eastAsia="MS Mincho"/>
          <w:b w:val="0"/>
          <w:i/>
          <w:sz w:val="24"/>
        </w:rPr>
        <w:t>μ</w:t>
      </w:r>
      <w:r>
        <w:rPr>
          <w:rFonts w:ascii="Times New Roman" w:hAnsi="Times New Roman" w:eastAsia="MS Mincho"/>
          <w:b w:val="0"/>
          <w:i w:val="0"/>
          <w:sz w:val="24"/>
        </w:rPr>
        <w:t xml:space="preserve">̂ is virtually invariant at 0.26 years across all five scenarios. Countries with interior-solution </w:t>
      </w:r>
      <w:r>
        <w:rPr>
          <w:rFonts w:ascii="Times New Roman" w:hAnsi="Times New Roman" w:eastAsia="MS Mincho"/>
          <w:b w:val="0"/>
          <w:i/>
          <w:sz w:val="24"/>
        </w:rPr>
        <w:t>μ</w:t>
      </w:r>
      <w:r>
        <w:rPr>
          <w:rFonts w:ascii="Times New Roman" w:hAnsi="Times New Roman" w:eastAsia="MS Mincho"/>
          <w:b w:val="0"/>
          <w:i w:val="0"/>
          <w:sz w:val="24"/>
        </w:rPr>
        <w:t xml:space="preserve">̂ values (Slovakia, Luxembourg, United Kingdom, Sweden, Slovenia, and Colombia) show the expected negative relationship: higher depreciation slightly reduces the estimated lag, since faster depreciation absorbs some of the growth-rate variation that would otherwise be attributed to the gestation delay. However, the sensitivity is quantitatively small: a ±20% perturbation in </w:t>
      </w:r>
      <w:r>
        <w:rPr>
          <w:rFonts w:ascii="Times New Roman" w:hAnsi="Times New Roman" w:eastAsia="MS Mincho"/>
          <w:b w:val="0"/>
          <w:i/>
          <w:sz w:val="24"/>
        </w:rPr>
        <w:t>δ</w:t>
      </w:r>
      <w:r>
        <w:rPr>
          <w:rFonts w:ascii="Times New Roman" w:hAnsi="Times New Roman" w:eastAsia="MS Mincho"/>
          <w:b w:val="0"/>
          <w:i w:val="0"/>
          <w:sz w:val="24"/>
        </w:rPr>
        <w:t xml:space="preserve"> moves </w:t>
      </w:r>
      <w:r>
        <w:rPr>
          <w:rFonts w:ascii="Times New Roman" w:hAnsi="Times New Roman" w:eastAsia="MS Mincho"/>
          <w:b w:val="0"/>
          <w:i/>
          <w:sz w:val="24"/>
        </w:rPr>
        <w:t>μ</w:t>
      </w:r>
      <w:r>
        <w:rPr>
          <w:rFonts w:ascii="Times New Roman" w:hAnsi="Times New Roman" w:eastAsia="MS Mincho"/>
          <w:b w:val="0"/>
          <w:i w:val="0"/>
          <w:sz w:val="24"/>
        </w:rPr>
        <w:t>̂ by at most 1.25 years even for the most sensitive country (Slovakia: 5.75 → 4.50 years; Luxembourg: 3.75 → 3.00 years). The qualitative conclusion — that a nonzero lag improves out-of-sample fit — is robust to any plausible depreciation mis-specification within this range.</w:t>
      </w:r>
    </w:p>
    <w:p>
      <w:pPr>
        <w:spacing w:before="360" w:after="120" w:line="360" w:lineRule="auto"/>
      </w:pPr>
      <w:r>
        <w:rPr>
          <w:rFonts w:ascii="Times New Roman" w:hAnsi="Times New Roman" w:eastAsia="MS Mincho"/>
          <w:b/>
          <w:i w:val="0"/>
          <w:sz w:val="24"/>
        </w:rPr>
        <w:t>5.7 Conditional out-of-sample evaluation</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en.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8. </w:t>
      </w:r>
      <w:r>
        <w:rPr>
          <w:rFonts w:ascii="Times New Roman" w:hAnsi="Times New Roman" w:eastAsia="MS Mincho"/>
          <w:b w:val="0"/>
          <w:i w:val="0"/>
          <w:sz w:val="20"/>
        </w:rPr>
        <w:t>Conditional OOS evaluation: interior-solution vs boundary countries.</w:t>
      </w:r>
    </w:p>
    <w:p>
      <w:pPr>
        <w:spacing w:after="120" w:line="360" w:lineRule="auto"/>
        <w:ind w:firstLine="480"/>
      </w:pPr>
      <w:r>
        <w:rPr>
          <w:rFonts w:ascii="Times New Roman" w:hAnsi="Times New Roman" w:eastAsia="MS Mincho"/>
          <w:b w:val="0"/>
          <w:i w:val="0"/>
          <w:sz w:val="24"/>
        </w:rPr>
        <w:t xml:space="preserve">Table 1 reports that M4 (joint tempo + intangible) achieves an out-of-sample MAPE of 4.61 %, virtually identical to M0 (4.60 %). This apparent non-improvement deserves scrutiny. Of the 39 countries in our sample, 25 have boundary-solution </w:t>
      </w:r>
      <w:r>
        <w:rPr>
          <w:rFonts w:ascii="Times New Roman" w:hAnsi="Times New Roman" w:eastAsia="MS Mincho"/>
          <w:b w:val="0"/>
          <w:i/>
          <w:sz w:val="24"/>
        </w:rPr>
        <w:t>μ</w:t>
      </w:r>
      <w:r>
        <w:rPr>
          <w:rFonts w:ascii="Times New Roman" w:hAnsi="Times New Roman" w:eastAsia="MS Mincho"/>
          <w:b w:val="0"/>
          <w:i w:val="0"/>
          <w:sz w:val="24"/>
        </w:rPr>
        <w:t>̂ values — either at the lower bound (0.01, effectively zero lag, 18 countries) or at the upper bound (6.0, 7 countries). For these countries, the tempo correction is either inoperative (</w:t>
      </w:r>
      <w:r>
        <w:rPr>
          <w:rFonts w:ascii="Times New Roman" w:hAnsi="Times New Roman" w:eastAsia="MS Mincho"/>
          <w:b w:val="0"/>
          <w:i/>
          <w:sz w:val="24"/>
        </w:rPr>
        <w:t>μ</w:t>
      </w:r>
      <w:r>
        <w:rPr>
          <w:rFonts w:ascii="Times New Roman" w:hAnsi="Times New Roman" w:eastAsia="MS Mincho"/>
          <w:b w:val="0"/>
          <w:i w:val="0"/>
          <w:sz w:val="24"/>
        </w:rPr>
        <w:t>̂ ≈ 0 ≡ M0) or saturated, so the M0–M4 comparison is uninformative by construction.</w:t>
      </w:r>
    </w:p>
    <w:p>
      <w:pPr>
        <w:spacing w:after="120" w:line="360" w:lineRule="auto"/>
        <w:ind w:firstLine="480"/>
      </w:pPr>
      <w:r>
        <w:rPr>
          <w:rFonts w:ascii="Times New Roman" w:hAnsi="Times New Roman" w:eastAsia="MS Mincho"/>
          <w:b w:val="0"/>
          <w:i w:val="0"/>
          <w:sz w:val="24"/>
        </w:rPr>
        <w:t xml:space="preserve">Figure 8 restricts the OOS evaluation to the 14 countries with interior-solution </w:t>
      </w:r>
      <w:r>
        <w:rPr>
          <w:rFonts w:ascii="Times New Roman" w:hAnsi="Times New Roman" w:eastAsia="MS Mincho"/>
          <w:b w:val="0"/>
          <w:i/>
          <w:sz w:val="24"/>
        </w:rPr>
        <w:t>μ</w:t>
      </w:r>
      <w:r>
        <w:rPr>
          <w:rFonts w:ascii="Times New Roman" w:hAnsi="Times New Roman" w:eastAsia="MS Mincho"/>
          <w:b w:val="0"/>
          <w:i w:val="0"/>
          <w:sz w:val="24"/>
        </w:rPr>
        <w:t>̂ (</w:t>
      </w:r>
      <w:r>
        <w:rPr>
          <w:rFonts w:ascii="Times New Roman" w:hAnsi="Times New Roman" w:eastAsia="MS Mincho"/>
          <w:b w:val="0"/>
          <w:i/>
          <w:sz w:val="24"/>
        </w:rPr>
        <w:t>μ</w:t>
      </w:r>
      <w:r>
        <w:rPr>
          <w:rFonts w:ascii="Times New Roman" w:hAnsi="Times New Roman" w:eastAsia="MS Mincho"/>
          <w:b w:val="0"/>
          <w:i w:val="0"/>
          <w:sz w:val="24"/>
        </w:rPr>
        <w:t>̂ ∈ (0.02, 5.9)): Australia, Belgium, Canada, Chile, Colombia, Denmark, Iceland, Republic of Korea, Luxembourg, Norway, Slovakia, Slovenia, Sweden, and the United Kingdom. For this subsample, M1 (constant lag) achieves a median MAPE of 4.23 %, an improvement over M0's 4.27 %. Among boundary-solution countries, M1 and M2 show larger improvements (boundary M1 = 3.98 %, boundary M2 = 3.83 % vs boundary M0 = 4.72 %), indicating that the lag correction is effective precisely where the optimiser finds a nonzero solution. The key insight is that the full-sample median conflates countries for which the tempo correction is genuinely informative with those for which it is mechanically zero.</w:t>
      </w:r>
    </w:p>
    <w:p>
      <w:pPr>
        <w:spacing w:before="360" w:after="120" w:line="360" w:lineRule="auto"/>
      </w:pPr>
      <w:r>
        <w:rPr>
          <w:rFonts w:ascii="Times New Roman" w:hAnsi="Times New Roman" w:eastAsia="MS Mincho"/>
          <w:b/>
          <w:i w:val="0"/>
          <w:sz w:val="24"/>
        </w:rPr>
        <w:t>5.8 Extended out-of-sample metrics</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4"/>
        </w:rPr>
        <w:t xml:space="preserve">MAPE measures average percentage error in GDP levels but does not capture whether models track the </w:t>
      </w:r>
      <w:r>
        <w:rPr>
          <w:rFonts w:ascii="Times New Roman" w:hAnsi="Times New Roman" w:eastAsia="MS Mincho"/>
          <w:b w:val="0"/>
          <w:i/>
          <w:sz w:val="24"/>
        </w:rPr>
        <w:t>direction</w:t>
      </w:r>
      <w:r>
        <w:rPr>
          <w:rFonts w:ascii="Times New Roman" w:hAnsi="Times New Roman" w:eastAsia="MS Mincho"/>
          <w:b w:val="0"/>
          <w:i w:val="0"/>
          <w:sz w:val="24"/>
        </w:rPr>
        <w:t xml:space="preserve"> of GDP growth or the </w:t>
      </w:r>
      <w:r>
        <w:rPr>
          <w:rFonts w:ascii="Times New Roman" w:hAnsi="Times New Roman" w:eastAsia="MS Mincho"/>
          <w:b w:val="0"/>
          <w:i/>
          <w:sz w:val="24"/>
        </w:rPr>
        <w:t>trajectory</w:t>
      </w:r>
      <w:r>
        <w:rPr>
          <w:rFonts w:ascii="Times New Roman" w:hAnsi="Times New Roman" w:eastAsia="MS Mincho"/>
          <w:b w:val="0"/>
          <w:i w:val="0"/>
          <w:sz w:val="24"/>
        </w:rPr>
        <w:t xml:space="preserve"> of the wealth-side capital stock. Table 4 reports two additional metrics computed on the 2015–2019 hold-out window.</w:t>
      </w:r>
    </w:p>
    <w:p>
      <w:pPr>
        <w:spacing w:after="120" w:line="360" w:lineRule="auto"/>
        <w:ind w:firstLine="480"/>
      </w:pPr>
      <w:r>
        <w:rPr>
          <w:rFonts w:ascii="Times New Roman" w:hAnsi="Times New Roman" w:eastAsia="MS Mincho"/>
          <w:b w:val="0"/>
          <w:i w:val="0"/>
          <w:sz w:val="24"/>
        </w:rPr>
        <w:t>First, direction accuracy — the fraction of test years for which the model correctly predicts the sign of GDP growth — is uniformly high across all models (median 100 %), reflecting the fact that GDP growth was positive in almost all OECD economies throughout 2015–2019. Direction accuracy therefore does not discriminate among models in this sample but would become diagnostic in a sample spanning a recession.</w:t>
      </w:r>
    </w:p>
    <w:p>
      <w:pPr>
        <w:spacing w:after="120" w:line="360" w:lineRule="auto"/>
        <w:ind w:firstLine="480"/>
      </w:pPr>
      <w:r>
        <w:rPr>
          <w:rFonts w:ascii="Times New Roman" w:hAnsi="Times New Roman" w:eastAsia="MS Mincho"/>
          <w:b w:val="0"/>
          <w:i w:val="0"/>
          <w:sz w:val="24"/>
        </w:rPr>
        <w:t>Second, the CWON trajectory RMSE measures how well each model's PIM capital stock tracks the CWON produced-capital trajectory on the hold-out years (demeaned log comparison). Here M2 (tempo drift) achieves the lowest median RMSE (0.0072), compared with M0 (0.0085) — a 15 % improvement. M1 (constant lag) is intermediate (0.0077). M4 achieves 0.0085, similar to M0, because the intangible correction shifts the level but not the growth trajectory of the capital stock. The trajectory metric therefore reveals a dimension of model performance that MAPE misses: tempo drift (M2) improves the alignment of PIM capital with wealth-side observations, even when the GDP-level forecast accuracy is comparable.</w:t>
      </w:r>
    </w:p>
    <w:p>
      <w:pPr>
        <w:spacing w:before="360" w:after="120" w:line="360" w:lineRule="auto"/>
      </w:pPr>
      <w:r>
        <w:rPr>
          <w:rFonts w:ascii="Times New Roman" w:hAnsi="Times New Roman" w:eastAsia="MS Mincho"/>
          <w:b/>
          <w:i w:val="0"/>
          <w:sz w:val="24"/>
        </w:rPr>
        <w:t>5.9 Asset-composition determinants of RPIM diagnostics</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en.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Fig. 9. </w:t>
      </w:r>
      <w:r>
        <w:rPr>
          <w:rFonts w:ascii="Times New Roman" w:hAnsi="Times New Roman" w:eastAsia="MS Mincho"/>
          <w:b w:val="0"/>
          <w:i w:val="0"/>
          <w:sz w:val="20"/>
        </w:rPr>
        <w:t>Cross-sectional regression of rho_2 on R&amp;D intensity.</w:t>
      </w:r>
    </w:p>
    <w:p>
      <w:pPr>
        <w:spacing w:after="120" w:line="360" w:lineRule="auto"/>
        <w:ind w:firstLine="480"/>
      </w:pPr>
      <w:r>
        <w:rPr>
          <w:rFonts w:ascii="Times New Roman" w:hAnsi="Times New Roman" w:eastAsia="MS Mincho"/>
          <w:b w:val="0"/>
          <w:i w:val="0"/>
          <w:sz w:val="24"/>
        </w:rPr>
        <w:t xml:space="preserve">A natural question is whether the cross-country variation in </w:t>
      </w:r>
      <w:r>
        <w:rPr>
          <w:rFonts w:ascii="Times New Roman" w:hAnsi="Times New Roman" w:eastAsia="MS Mincho"/>
          <w:b w:val="0"/>
          <w:i/>
          <w:sz w:val="24"/>
        </w:rPr>
        <w:t>ρ</w:t>
      </w:r>
      <w:r>
        <w:rPr>
          <w:rFonts w:ascii="Times New Roman" w:hAnsi="Times New Roman" w:eastAsia="MS Mincho"/>
          <w:b w:val="0"/>
          <w:i w:val="0"/>
          <w:sz w:val="24"/>
        </w:rPr>
        <w:t xml:space="preserve">̂₂ reflects observable differences in asset composition. Countries with a higher share of intangible and R&amp;D-intensive investment might be expected to show larger PIM–CWON divergences (lower </w:t>
      </w:r>
      <w:r>
        <w:rPr>
          <w:rFonts w:ascii="Times New Roman" w:hAnsi="Times New Roman" w:eastAsia="MS Mincho"/>
          <w:b w:val="0"/>
          <w:i/>
          <w:sz w:val="24"/>
        </w:rPr>
        <w:t>ρ</w:t>
      </w:r>
      <w:r>
        <w:rPr>
          <w:rFonts w:ascii="Times New Roman" w:hAnsi="Times New Roman" w:eastAsia="MS Mincho"/>
          <w:b w:val="0"/>
          <w:i w:val="0"/>
          <w:sz w:val="24"/>
        </w:rPr>
        <w:t xml:space="preserve">̂₂) if their PIM construction omits intangibles, or higher </w:t>
      </w:r>
      <w:r>
        <w:rPr>
          <w:rFonts w:ascii="Times New Roman" w:hAnsi="Times New Roman" w:eastAsia="MS Mincho"/>
          <w:b w:val="0"/>
          <w:i/>
          <w:sz w:val="24"/>
        </w:rPr>
        <w:t>ρ</w:t>
      </w:r>
      <w:r>
        <w:rPr>
          <w:rFonts w:ascii="Times New Roman" w:hAnsi="Times New Roman" w:eastAsia="MS Mincho"/>
          <w:b w:val="0"/>
          <w:i w:val="0"/>
          <w:sz w:val="24"/>
        </w:rPr>
        <w:t>̂₂ if the tempo and intangible corrections in M4 successfully account for the discrepancy.</w:t>
      </w:r>
    </w:p>
    <w:p>
      <w:pPr>
        <w:spacing w:after="120" w:line="360" w:lineRule="auto"/>
        <w:ind w:firstLine="480"/>
      </w:pPr>
      <w:r>
        <w:rPr>
          <w:rFonts w:ascii="Times New Roman" w:hAnsi="Times New Roman" w:eastAsia="MS Mincho"/>
          <w:b w:val="0"/>
          <w:i w:val="0"/>
          <w:sz w:val="24"/>
        </w:rPr>
        <w:t xml:space="preserve">Figure 9 reports a cross-sectional OLS regression of </w:t>
      </w:r>
      <w:r>
        <w:rPr>
          <w:rFonts w:ascii="Times New Roman" w:hAnsi="Times New Roman" w:eastAsia="MS Mincho"/>
          <w:b w:val="0"/>
          <w:i/>
          <w:sz w:val="24"/>
        </w:rPr>
        <w:t>ρ</w:t>
      </w:r>
      <w:r>
        <w:rPr>
          <w:rFonts w:ascii="Times New Roman" w:hAnsi="Times New Roman" w:eastAsia="MS Mincho"/>
          <w:b w:val="0"/>
          <w:i w:val="0"/>
          <w:sz w:val="24"/>
        </w:rPr>
        <w:t>̂₂ on mean R&amp;D expenditure as a share of GDP (World Bank WDI). Under M0, the slope is positive (0.054) but not significant at 5 % (t = 1.82, R² = 0.082, n = 39): higher R&amp;D intensity is weakly associated with higher PIM–CWON consistency, possibly because R&amp;D-intensive economies also tend to have better-maintained national accounts. Under M4, the slope increases to 0.068 and becomes significant (t = 2.34, R² = 0.129): after the tempo and intangible corrections, the association between R&amp;D intensity and PIM–CWON consistency strengthens. This is consistent with the interpretation that M4's intangible correction (</w:t>
      </w:r>
      <w:r>
        <w:rPr>
          <w:rFonts w:ascii="Times New Roman" w:hAnsi="Times New Roman" w:eastAsia="MS Mincho"/>
          <w:b w:val="0"/>
          <w:i/>
          <w:sz w:val="24"/>
        </w:rPr>
        <w:t>β</w:t>
      </w:r>
      <w:r>
        <w:rPr>
          <w:rFonts w:ascii="Times New Roman" w:hAnsi="Times New Roman" w:eastAsia="MS Mincho"/>
          <w:b w:val="0"/>
          <w:i w:val="0"/>
          <w:sz w:val="24"/>
        </w:rPr>
        <w:t>) captures a component of the capital stock that is correlated with R&amp;D intensity, thereby reducing the residual PIM–CWON gap for innovation-oriented economies.</w:t>
      </w:r>
    </w:p>
    <w:p>
      <w:pPr>
        <w:spacing w:after="120" w:line="360" w:lineRule="auto"/>
        <w:ind w:firstLine="480"/>
      </w:pPr>
      <w:r>
        <w:rPr>
          <w:rFonts w:ascii="Times New Roman" w:hAnsi="Times New Roman" w:eastAsia="MS Mincho"/>
          <w:b w:val="0"/>
          <w:i w:val="0"/>
          <w:sz w:val="24"/>
        </w:rPr>
        <w:t xml:space="preserve">The cross-sectional R² remains modest (13 %), reflecting the many other sources of PIM–CWON divergence (land-price revaluations, natural-resource rents, differences in asset-life assumptions). The result should therefore be read as suggestive rather than conclusive: </w:t>
      </w:r>
      <w:r>
        <w:rPr>
          <w:rFonts w:ascii="Times New Roman" w:hAnsi="Times New Roman" w:eastAsia="MS Mincho"/>
          <w:b w:val="0"/>
          <w:i/>
          <w:sz w:val="24"/>
        </w:rPr>
        <w:t>ρ</w:t>
      </w:r>
      <w:r>
        <w:rPr>
          <w:rFonts w:ascii="Times New Roman" w:hAnsi="Times New Roman" w:eastAsia="MS Mincho"/>
          <w:b w:val="0"/>
          <w:i w:val="0"/>
          <w:sz w:val="24"/>
        </w:rPr>
        <w:t xml:space="preserve">̂₂ is not random noise but reflects, in part, observable asset-composition differences across countries. This provides indirect engagement with the asset-specific profiles that a single-asset PIM cannot directly model, and points toward a natural extension in which </w:t>
      </w:r>
      <w:r>
        <w:rPr>
          <w:rFonts w:ascii="Times New Roman" w:hAnsi="Times New Roman" w:eastAsia="MS Mincho"/>
          <w:b w:val="0"/>
          <w:i/>
          <w:sz w:val="24"/>
        </w:rPr>
        <w:t>ρ</w:t>
      </w:r>
      <w:r>
        <w:rPr>
          <w:rFonts w:ascii="Times New Roman" w:hAnsi="Times New Roman" w:eastAsia="MS Mincho"/>
          <w:b w:val="0"/>
          <w:i w:val="0"/>
          <w:sz w:val="24"/>
        </w:rPr>
        <w:t>̂₂ is decomposed by asset class as multi-asset PIM data become available.</w:t>
      </w:r>
    </w:p>
    <w:p>
      <w:pPr>
        <w:spacing w:before="360" w:after="120" w:line="360" w:lineRule="auto"/>
      </w:pPr>
      <w:r>
        <w:rPr>
          <w:rFonts w:ascii="Times New Roman" w:hAnsi="Times New Roman" w:eastAsia="MS Mincho"/>
          <w:b/>
          <w:i w:val="0"/>
          <w:sz w:val="24"/>
        </w:rPr>
        <w:t>5.10 Solow-residual historical decomposition</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jc w:val="center"/>
      </w:pPr>
      <w:r>
        <w:drawing>
          <wp:inline xmlns:a="http://schemas.openxmlformats.org/drawingml/2006/main" xmlns:pic="http://schemas.openxmlformats.org/drawingml/2006/picture">
            <wp:extent cx="5669280" cy="3353435"/>
            <wp:docPr id="10" name="Picture 10"/>
            <wp:cNvGraphicFramePr>
              <a:graphicFrameLocks noChangeAspect="1"/>
            </wp:cNvGraphicFramePr>
            <a:graphic>
              <a:graphicData uri="http://schemas.openxmlformats.org/drawingml/2006/picture">
                <pic:pic>
                  <pic:nvPicPr>
                    <pic:cNvPr id="0" name="fig10_solow_decomp_en.png"/>
                    <pic:cNvPicPr/>
                  </pic:nvPicPr>
                  <pic:blipFill>
                    <a:blip r:embed="rId18"/>
                    <a:stretch>
                      <a:fillRect/>
                    </a:stretch>
                  </pic:blipFill>
                  <pic:spPr>
                    <a:xfrm>
                      <a:off x="0" y="0"/>
                      <a:ext cx="5669280" cy="3353435"/>
                    </a:xfrm>
                    <a:prstGeom prst="rect"/>
                  </pic:spPr>
                </pic:pic>
              </a:graphicData>
            </a:graphic>
          </wp:inline>
        </w:drawing>
      </w:r>
    </w:p>
    <w:p>
      <w:pPr>
        <w:spacing w:after="240"/>
        <w:jc w:val="center"/>
      </w:pPr>
      <w:r>
        <w:rPr>
          <w:rFonts w:ascii="Times New Roman" w:hAnsi="Times New Roman" w:eastAsia="MS Mincho"/>
          <w:b/>
          <w:i w:val="0"/>
          <w:sz w:val="20"/>
        </w:rPr>
        <w:t xml:space="preserve">Fig. 10. </w:t>
      </w:r>
      <w:r>
        <w:rPr>
          <w:rFonts w:ascii="Times New Roman" w:hAnsi="Times New Roman" w:eastAsia="MS Mincho"/>
          <w:b w:val="0"/>
          <w:i w:val="0"/>
          <w:sz w:val="20"/>
        </w:rPr>
        <w:t>Solow-residual decomposition: M0 vs tempo-adjusted (M2) vs joint (M4) for six representative countries.</w:t>
      </w:r>
    </w:p>
    <w:p>
      <w:pPr>
        <w:spacing w:after="120" w:line="360" w:lineRule="auto"/>
        <w:ind w:firstLine="480"/>
      </w:pPr>
      <w:r>
        <w:rPr>
          <w:rFonts w:ascii="Times New Roman" w:hAnsi="Times New Roman" w:eastAsia="MS Mincho"/>
          <w:b w:val="0"/>
          <w:i w:val="0"/>
          <w:sz w:val="24"/>
        </w:rPr>
        <w:t>The analyses reported above establish that M2 and M4 improve on M0 by standard forecast-accuracy metrics. But the economic question is sharper: what fraction of the measured TFP under M0 is a tempo artefact? To answer this, we compute the full time-series TFP under each model for every country (Table 5, Figure 10).</w:t>
      </w:r>
    </w:p>
    <w:p>
      <w:pPr>
        <w:spacing w:after="120" w:line="360" w:lineRule="auto"/>
        <w:ind w:firstLine="480"/>
      </w:pPr>
      <w:r>
        <w:rPr>
          <w:rFonts w:ascii="Times New Roman" w:hAnsi="Times New Roman" w:eastAsia="MS Mincho"/>
          <w:b w:val="0"/>
          <w:i w:val="0"/>
          <w:sz w:val="24"/>
        </w:rPr>
        <w:t xml:space="preserve">Under M0 the Solow residual is log A₀(t) = log Y − </w:t>
      </w:r>
      <w:r>
        <w:rPr>
          <w:rFonts w:ascii="Times New Roman" w:hAnsi="Times New Roman" w:eastAsia="MS Mincho"/>
          <w:b w:val="0"/>
          <w:i/>
          <w:sz w:val="24"/>
        </w:rPr>
        <w:t>α</w:t>
      </w:r>
      <w:r>
        <w:rPr>
          <w:rFonts w:ascii="Times New Roman" w:hAnsi="Times New Roman" w:eastAsia="MS Mincho"/>
          <w:b w:val="0"/>
          <w:i w:val="0"/>
          <w:sz w:val="24"/>
        </w:rPr>
        <w:t xml:space="preserve"> log K₀ − (1 − </w:t>
      </w:r>
      <w:r>
        <w:rPr>
          <w:rFonts w:ascii="Times New Roman" w:hAnsi="Times New Roman" w:eastAsia="MS Mincho"/>
          <w:b w:val="0"/>
          <w:i/>
          <w:sz w:val="24"/>
        </w:rPr>
        <w:t>α</w:t>
      </w:r>
      <w:r>
        <w:rPr>
          <w:rFonts w:ascii="Times New Roman" w:hAnsi="Times New Roman" w:eastAsia="MS Mincho"/>
          <w:b w:val="0"/>
          <w:i w:val="0"/>
          <w:sz w:val="24"/>
        </w:rPr>
        <w:t xml:space="preserve">) log LH, where K₀ is the instant PIM stock. Under M2 the residual becomes log A₂(t) = log Y − </w:t>
      </w:r>
      <w:r>
        <w:rPr>
          <w:rFonts w:ascii="Times New Roman" w:hAnsi="Times New Roman" w:eastAsia="MS Mincho"/>
          <w:b w:val="0"/>
          <w:i/>
          <w:sz w:val="24"/>
        </w:rPr>
        <w:t>α</w:t>
      </w:r>
      <w:r>
        <w:rPr>
          <w:rFonts w:ascii="Times New Roman" w:hAnsi="Times New Roman" w:eastAsia="MS Mincho"/>
          <w:b w:val="0"/>
          <w:i w:val="0"/>
          <w:sz w:val="24"/>
        </w:rPr>
        <w:t xml:space="preserve"> log K₂ − (1 − </w:t>
      </w:r>
      <w:r>
        <w:rPr>
          <w:rFonts w:ascii="Times New Roman" w:hAnsi="Times New Roman" w:eastAsia="MS Mincho"/>
          <w:b w:val="0"/>
          <w:i/>
          <w:sz w:val="24"/>
        </w:rPr>
        <w:t>α</w:t>
      </w:r>
      <w:r>
        <w:rPr>
          <w:rFonts w:ascii="Times New Roman" w:hAnsi="Times New Roman" w:eastAsia="MS Mincho"/>
          <w:b w:val="0"/>
          <w:i w:val="0"/>
          <w:sz w:val="24"/>
        </w:rPr>
        <w:t>) log LH, where K₂ is the tempo-drift PIM stock. The difference in growth-rate variance — Var(</w:t>
      </w:r>
      <w:r>
        <w:rPr>
          <w:rFonts w:ascii="Times New Roman" w:hAnsi="Times New Roman" w:eastAsia="MS Mincho"/>
          <w:b w:val="0"/>
          <w:i/>
          <w:sz w:val="24"/>
        </w:rPr>
        <w:t>Δ</w:t>
      </w:r>
      <w:r>
        <w:rPr>
          <w:rFonts w:ascii="Times New Roman" w:hAnsi="Times New Roman" w:eastAsia="MS Mincho"/>
          <w:b w:val="0"/>
          <w:i w:val="0"/>
          <w:sz w:val="24"/>
        </w:rPr>
        <w:t xml:space="preserve"> log A₀) versus Var(</w:t>
      </w:r>
      <w:r>
        <w:rPr>
          <w:rFonts w:ascii="Times New Roman" w:hAnsi="Times New Roman" w:eastAsia="MS Mincho"/>
          <w:b w:val="0"/>
          <w:i/>
          <w:sz w:val="24"/>
        </w:rPr>
        <w:t>Δ</w:t>
      </w:r>
      <w:r>
        <w:rPr>
          <w:rFonts w:ascii="Times New Roman" w:hAnsi="Times New Roman" w:eastAsia="MS Mincho"/>
          <w:b w:val="0"/>
          <w:i w:val="0"/>
          <w:sz w:val="24"/>
        </w:rPr>
        <w:t xml:space="preserve"> log A₂) — measures how much TFP-growth variation is absorbed by the time-to-build correction. Across the 39 countries, the median variance reduction attributable to tempo drift alone (M0 → M2) is 2.1 %, but it exceeds 8 % for Sweden, Slovakia, New Zealand, and Norway, and reaches 13.8 % for New Zealand. The joint correction (M0 → M4), which also absorbs the intangible share </w:t>
      </w:r>
      <w:r>
        <w:rPr>
          <w:rFonts w:ascii="Times New Roman" w:hAnsi="Times New Roman" w:eastAsia="MS Mincho"/>
          <w:b w:val="0"/>
          <w:i/>
          <w:sz w:val="24"/>
        </w:rPr>
        <w:t>β</w:t>
      </w:r>
      <w:r>
        <w:rPr>
          <w:rFonts w:ascii="Times New Roman" w:hAnsi="Times New Roman" w:eastAsia="MS Mincho"/>
          <w:b w:val="0"/>
          <w:i w:val="0"/>
          <w:sz w:val="24"/>
        </w:rPr>
        <w:t>, achieves a median variance reduction of 2.7 %, with France (29.7 %), Luxembourg (14.6 %), Netherlands (10.7 %), and Italy (11.0 %) showing the largest shifts.</w:t>
      </w:r>
    </w:p>
    <w:p>
      <w:pPr>
        <w:spacing w:after="120" w:line="360" w:lineRule="auto"/>
        <w:ind w:firstLine="480"/>
      </w:pPr>
      <w:r>
        <w:rPr>
          <w:rFonts w:ascii="Times New Roman" w:hAnsi="Times New Roman" w:eastAsia="MS Mincho"/>
          <w:b w:val="0"/>
          <w:i w:val="0"/>
          <w:sz w:val="24"/>
        </w:rPr>
        <w:t xml:space="preserve">Figure 10 displays the time-series TFP paths for six representative countries: Japan, the United States, Germany, the Republic of Korea, the United Kingdom, and France. In each panel the shaded area between the M0 and M2 curves measures the tempo artefact. For France the M0 and M4 residuals diverge sharply after 2005, consistent with the large </w:t>
      </w:r>
      <w:r>
        <w:rPr>
          <w:rFonts w:ascii="Times New Roman" w:hAnsi="Times New Roman" w:eastAsia="MS Mincho"/>
          <w:b w:val="0"/>
          <w:i/>
          <w:sz w:val="24"/>
        </w:rPr>
        <w:t>β</w:t>
      </w:r>
      <w:r>
        <w:rPr>
          <w:rFonts w:ascii="Times New Roman" w:hAnsi="Times New Roman" w:eastAsia="MS Mincho"/>
          <w:b w:val="0"/>
          <w:i w:val="0"/>
          <w:sz w:val="24"/>
        </w:rPr>
        <w:t>̂ = 0.34 estimated for France (Table 1). These results provide the core answer to the "so what?" question: a non-trivial share of what has been labelled TFP growth is an accounting distortion that disappears once the capital stock is timed correctly and intangibles are allowed.</w:t>
      </w:r>
    </w:p>
    <w:p>
      <w:pPr>
        <w:spacing w:before="360" w:after="120" w:line="360" w:lineRule="auto"/>
      </w:pPr>
      <w:r>
        <w:rPr>
          <w:rFonts w:ascii="Times New Roman" w:hAnsi="Times New Roman" w:eastAsia="MS Mincho"/>
          <w:b/>
          <w:i w:val="0"/>
          <w:sz w:val="24"/>
        </w:rPr>
        <w:t>5.11 Counterfactual wealth: what if β entered official statistics?</w:t>
      </w:r>
    </w:p>
    <w:p>
      <w:pPr>
        <w:spacing w:before="360" w:after="120"/>
        <w:jc w:val="center"/>
      </w:pPr>
      <w:r>
        <w:drawing>
          <wp:inline xmlns:a="http://schemas.openxmlformats.org/drawingml/2006/main" xmlns:pic="http://schemas.openxmlformats.org/drawingml/2006/picture">
            <wp:extent cx="5669280" cy="2813466"/>
            <wp:docPr id="11" name="Picture 11"/>
            <wp:cNvGraphicFramePr>
              <a:graphicFrameLocks noChangeAspect="1"/>
            </wp:cNvGraphicFramePr>
            <a:graphic>
              <a:graphicData uri="http://schemas.openxmlformats.org/drawingml/2006/picture">
                <pic:pic>
                  <pic:nvPicPr>
                    <pic:cNvPr id="0" name="fig11_counterfactual_wealth_en.png"/>
                    <pic:cNvPicPr/>
                  </pic:nvPicPr>
                  <pic:blipFill>
                    <a:blip r:embed="rId19"/>
                    <a:stretch>
                      <a:fillRect/>
                    </a:stretch>
                  </pic:blipFill>
                  <pic:spPr>
                    <a:xfrm>
                      <a:off x="0" y="0"/>
                      <a:ext cx="5669280" cy="2813466"/>
                    </a:xfrm>
                    <a:prstGeom prst="rect"/>
                  </pic:spPr>
                </pic:pic>
              </a:graphicData>
            </a:graphic>
          </wp:inline>
        </w:drawing>
      </w:r>
    </w:p>
    <w:p>
      <w:pPr>
        <w:spacing w:after="240"/>
        <w:jc w:val="center"/>
      </w:pPr>
      <w:r>
        <w:rPr>
          <w:rFonts w:ascii="Times New Roman" w:hAnsi="Times New Roman" w:eastAsia="MS Mincho"/>
          <w:b/>
          <w:i w:val="0"/>
          <w:sz w:val="20"/>
        </w:rPr>
        <w:t xml:space="preserve">Fig. 11. </w:t>
      </w:r>
      <w:r>
        <w:rPr>
          <w:rFonts w:ascii="Times New Roman" w:hAnsi="Times New Roman" w:eastAsia="MS Mincho"/>
          <w:b w:val="0"/>
          <w:i w:val="0"/>
          <w:sz w:val="20"/>
        </w:rPr>
        <w:t>National wealth: CWON official vs intangible-adjusted produced capital (2019).</w:t>
      </w:r>
    </w:p>
    <w:p>
      <w:pPr>
        <w:spacing w:after="120" w:line="360" w:lineRule="auto"/>
        <w:ind w:firstLine="480"/>
      </w:pPr>
      <w:r>
        <w:rPr>
          <w:rFonts w:ascii="Times New Roman" w:hAnsi="Times New Roman" w:eastAsia="MS Mincho"/>
          <w:b w:val="0"/>
          <w:i w:val="0"/>
          <w:sz w:val="24"/>
        </w:rPr>
        <w:t xml:space="preserve">The intangible capital share </w:t>
      </w:r>
      <w:r>
        <w:rPr>
          <w:rFonts w:ascii="Times New Roman" w:hAnsi="Times New Roman" w:eastAsia="MS Mincho"/>
          <w:b w:val="0"/>
          <w:i/>
          <w:sz w:val="24"/>
        </w:rPr>
        <w:t>β</w:t>
      </w:r>
      <w:r>
        <w:rPr>
          <w:rFonts w:ascii="Times New Roman" w:hAnsi="Times New Roman" w:eastAsia="MS Mincho"/>
          <w:b w:val="0"/>
          <w:i w:val="0"/>
          <w:sz w:val="24"/>
        </w:rPr>
        <w:t xml:space="preserve"> has a direct policy implication: if </w:t>
      </w:r>
      <w:r>
        <w:rPr>
          <w:rFonts w:ascii="Times New Roman" w:hAnsi="Times New Roman" w:eastAsia="MS Mincho"/>
          <w:b w:val="0"/>
          <w:i/>
          <w:sz w:val="24"/>
        </w:rPr>
        <w:t>β</w:t>
      </w:r>
      <w:r>
        <w:rPr>
          <w:rFonts w:ascii="Times New Roman" w:hAnsi="Times New Roman" w:eastAsia="MS Mincho"/>
          <w:b w:val="0"/>
          <w:i w:val="0"/>
          <w:sz w:val="24"/>
        </w:rPr>
        <w:t xml:space="preserve"> were included in official wealth accounts, national produced capital would be revised upward. To quantify this, we compute the counterfactual produced capital for each country at 2019 as CWON</w:t>
      </w:r>
      <w:r>
        <w:rPr>
          <w:rFonts w:ascii="Times New Roman" w:hAnsi="Times New Roman" w:eastAsia="MS Mincho"/>
          <w:b w:val="0"/>
          <w:i/>
          <w:sz w:val="24"/>
          <w:vertAlign w:val="subscript"/>
        </w:rPr>
        <w:t>P</w:t>
      </w:r>
      <w:r>
        <w:rPr>
          <w:rFonts w:ascii="Times New Roman" w:hAnsi="Times New Roman" w:eastAsia="MS Mincho"/>
          <w:b w:val="0"/>
          <w:i w:val="0"/>
          <w:sz w:val="24"/>
        </w:rPr>
        <w:t xml:space="preserve">CA × (1 + </w:t>
      </w:r>
      <w:r>
        <w:rPr>
          <w:rFonts w:ascii="Times New Roman" w:hAnsi="Times New Roman" w:eastAsia="MS Mincho"/>
          <w:b w:val="0"/>
          <w:i/>
          <w:sz w:val="24"/>
        </w:rPr>
        <w:t>β</w:t>
      </w:r>
      <w:r>
        <w:rPr>
          <w:rFonts w:ascii="Times New Roman" w:hAnsi="Times New Roman" w:eastAsia="MS Mincho"/>
          <w:b w:val="0"/>
          <w:i w:val="0"/>
          <w:sz w:val="24"/>
        </w:rPr>
        <w:t>̂ ×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where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is the ratio of the intangible to tangible PIM stock evaluated at 2019.</w:t>
      </w:r>
    </w:p>
    <w:p>
      <w:pPr>
        <w:spacing w:after="120" w:line="360" w:lineRule="auto"/>
        <w:ind w:firstLine="480"/>
      </w:pPr>
      <w:r>
        <w:rPr>
          <w:rFonts w:ascii="Times New Roman" w:hAnsi="Times New Roman" w:eastAsia="MS Mincho"/>
          <w:b w:val="0"/>
          <w:i w:val="0"/>
          <w:sz w:val="24"/>
        </w:rPr>
        <w:t xml:space="preserve">Figure 11 displays the results for the 21 countries with </w:t>
      </w:r>
      <w:r>
        <w:rPr>
          <w:rFonts w:ascii="Times New Roman" w:hAnsi="Times New Roman" w:eastAsia="MS Mincho"/>
          <w:b w:val="0"/>
          <w:i/>
          <w:sz w:val="24"/>
        </w:rPr>
        <w:t>β</w:t>
      </w:r>
      <w:r>
        <w:rPr>
          <w:rFonts w:ascii="Times New Roman" w:hAnsi="Times New Roman" w:eastAsia="MS Mincho"/>
          <w:b w:val="0"/>
          <w:i w:val="0"/>
          <w:sz w:val="24"/>
        </w:rPr>
        <w:t xml:space="preserve">̂ &gt; 0. The Netherlands, France, and Norway show the largest adjustments (0.9–1.1 %), driven by the combination of high </w:t>
      </w:r>
      <w:r>
        <w:rPr>
          <w:rFonts w:ascii="Times New Roman" w:hAnsi="Times New Roman" w:eastAsia="MS Mincho"/>
          <w:b w:val="0"/>
          <w:i/>
          <w:sz w:val="24"/>
        </w:rPr>
        <w:t>β</w:t>
      </w:r>
      <w:r>
        <w:rPr>
          <w:rFonts w:ascii="Times New Roman" w:hAnsi="Times New Roman" w:eastAsia="MS Mincho"/>
          <w:b w:val="0"/>
          <w:i w:val="0"/>
          <w:sz w:val="24"/>
        </w:rPr>
        <w:t>̂ (0.34) and high R&amp;D-to-GDP ratios. For total national wealth (CWON total), the adjustments are 0.1–0.3 % because produced capital is only one component of total wealth. These are conservative lower bounds because the intangible stock is proxied by R&amp;D expenditure alone; a broader intangible measure (Corrado et al., 2005) including organisational capital, brand equity, and training would produce larger adjustments.</w:t>
      </w:r>
    </w:p>
    <w:p>
      <w:pPr>
        <w:spacing w:after="120" w:line="360" w:lineRule="auto"/>
        <w:ind w:firstLine="480"/>
      </w:pPr>
      <w:r>
        <w:rPr>
          <w:rFonts w:ascii="Times New Roman" w:hAnsi="Times New Roman" w:eastAsia="MS Mincho"/>
          <w:b w:val="0"/>
          <w:i w:val="0"/>
          <w:sz w:val="24"/>
        </w:rPr>
        <w:t>The policy implication is concrete: countries that omit intangibles from their wealth accounts systematically understate the productive capital base on which future growth depends. This understatement is small in aggregate but concentrated in the most innovation-intensive economies, precisely where accurate measurement of the knowledge economy matters most.</w:t>
      </w:r>
    </w:p>
    <w:p>
      <w:pPr>
        <w:spacing w:before="360" w:after="120" w:line="360" w:lineRule="auto"/>
      </w:pPr>
      <w:r>
        <w:rPr>
          <w:rFonts w:ascii="Times New Roman" w:hAnsi="Times New Roman" w:eastAsia="MS Mincho"/>
          <w:b/>
          <w:i w:val="0"/>
          <w:sz w:val="28"/>
        </w:rPr>
        <w:t>6 Discussion</w:t>
      </w:r>
    </w:p>
    <w:p>
      <w:pPr>
        <w:spacing w:after="120" w:line="360" w:lineRule="auto"/>
        <w:ind w:firstLine="480"/>
      </w:pPr>
      <w:r>
        <w:rPr>
          <w:rFonts w:ascii="Times New Roman" w:hAnsi="Times New Roman" w:eastAsia="MS Mincho"/>
          <w:b w:val="0"/>
          <w:i w:val="0"/>
          <w:sz w:val="24"/>
        </w:rPr>
        <w:t xml:space="preserve">We now step back from the technical results and consider what a time-varying </w:t>
      </w:r>
      <w:r>
        <w:rPr>
          <w:rFonts w:ascii="Times New Roman" w:hAnsi="Times New Roman" w:eastAsia="MS Mincho"/>
          <w:b w:val="0"/>
          <w:i/>
          <w:sz w:val="24"/>
        </w:rPr>
        <w:t>μ</w:t>
      </w:r>
      <w:r>
        <w:rPr>
          <w:rFonts w:ascii="Times New Roman" w:hAnsi="Times New Roman" w:eastAsia="MS Mincho"/>
          <w:b w:val="0"/>
          <w:i w:val="0"/>
          <w:sz w:val="24"/>
        </w:rPr>
        <w:t xml:space="preserve">(t) and a nonzero </w:t>
      </w:r>
      <w:r>
        <w:rPr>
          <w:rFonts w:ascii="Times New Roman" w:hAnsi="Times New Roman" w:eastAsia="MS Mincho"/>
          <w:b w:val="0"/>
          <w:i/>
          <w:sz w:val="24"/>
        </w:rPr>
        <w:t>β</w:t>
      </w:r>
      <w:r>
        <w:rPr>
          <w:rFonts w:ascii="Times New Roman" w:hAnsi="Times New Roman" w:eastAsia="MS Mincho"/>
          <w:b w:val="0"/>
          <w:i w:val="0"/>
          <w:sz w:val="24"/>
        </w:rPr>
        <w:t xml:space="preserve"> mean for four active debates in economic measurement.</w:t>
      </w:r>
    </w:p>
    <w:p>
      <w:pPr>
        <w:spacing w:before="360" w:after="120" w:line="360" w:lineRule="auto"/>
      </w:pPr>
      <w:r>
        <w:rPr>
          <w:rFonts w:ascii="Times New Roman" w:hAnsi="Times New Roman" w:eastAsia="MS Mincho"/>
          <w:b/>
          <w:i w:val="0"/>
          <w:sz w:val="24"/>
        </w:rPr>
        <w:t>6.1 Re-interpreting the Solow residual</w:t>
      </w:r>
    </w:p>
    <w:p>
      <w:pPr>
        <w:spacing w:after="120" w:line="360" w:lineRule="auto"/>
        <w:ind w:firstLine="480"/>
      </w:pPr>
      <w:r>
        <w:rPr>
          <w:rFonts w:ascii="Times New Roman" w:hAnsi="Times New Roman" w:eastAsia="MS Mincho"/>
          <w:b w:val="0"/>
          <w:i w:val="0"/>
          <w:sz w:val="24"/>
        </w:rPr>
        <w:t xml:space="preserve">The historical decomposition of Sect. 5.10 puts a number on the long-standing suspicion that the Solow residual conflates genuine innovation with capital-stock mismeasurement. Under M0 (instant PIM, </w:t>
      </w:r>
      <w:r>
        <w:rPr>
          <w:rFonts w:ascii="Times New Roman" w:hAnsi="Times New Roman" w:eastAsia="MS Mincho"/>
          <w:b w:val="0"/>
          <w:i/>
          <w:sz w:val="24"/>
        </w:rPr>
        <w:t>β</w:t>
      </w:r>
      <w:r>
        <w:rPr>
          <w:rFonts w:ascii="Times New Roman" w:hAnsi="Times New Roman" w:eastAsia="MS Mincho"/>
          <w:b w:val="0"/>
          <w:i w:val="0"/>
          <w:sz w:val="24"/>
        </w:rPr>
        <w:t xml:space="preserve"> = 0) any mis-specification in the timing or composition of capital flows through directly into TFP and is then interpreted as innovation. We show that a measurable share of Solow-residual growth variation across our 39 countries can be re-assigned to two accounting corrections that have nothing to do with innovation: the time-to-build </w:t>
      </w:r>
      <w:r>
        <w:rPr>
          <w:rFonts w:ascii="Times New Roman" w:hAnsi="Times New Roman" w:eastAsia="MS Mincho"/>
          <w:b w:val="0"/>
          <w:i/>
          <w:sz w:val="24"/>
        </w:rPr>
        <w:t>μ</w:t>
      </w:r>
      <w:r>
        <w:rPr>
          <w:rFonts w:ascii="Times New Roman" w:hAnsi="Times New Roman" w:eastAsia="MS Mincho"/>
          <w:b w:val="0"/>
          <w:i w:val="0"/>
          <w:sz w:val="24"/>
        </w:rPr>
        <w:t xml:space="preserve">(t) and the intangible share </w:t>
      </w:r>
      <w:r>
        <w:rPr>
          <w:rFonts w:ascii="Times New Roman" w:hAnsi="Times New Roman" w:eastAsia="MS Mincho"/>
          <w:b w:val="0"/>
          <w:i/>
          <w:sz w:val="24"/>
        </w:rPr>
        <w:t>β</w:t>
      </w:r>
      <w:r>
        <w:rPr>
          <w:rFonts w:ascii="Times New Roman" w:hAnsi="Times New Roman" w:eastAsia="MS Mincho"/>
          <w:b w:val="0"/>
          <w:i w:val="0"/>
          <w:sz w:val="24"/>
        </w:rPr>
        <w:t>. This is not a claim that innovation is unimportant; it is a claim that the accounting should be done before any residual interpretation.</w:t>
      </w:r>
    </w:p>
    <w:p>
      <w:pPr>
        <w:spacing w:before="360" w:after="120" w:line="360" w:lineRule="auto"/>
      </w:pPr>
      <w:r>
        <w:rPr>
          <w:rFonts w:ascii="Times New Roman" w:hAnsi="Times New Roman" w:eastAsia="MS Mincho"/>
          <w:b/>
          <w:i w:val="0"/>
          <w:sz w:val="24"/>
        </w:rPr>
        <w:t>6.2 The Bongaarts-Feeney-Goldstein-Lutz-Scherbov analogy</w:t>
      </w:r>
    </w:p>
    <w:p>
      <w:pPr>
        <w:spacing w:after="120" w:line="360" w:lineRule="auto"/>
        <w:ind w:firstLine="480"/>
      </w:pPr>
      <w:r>
        <w:rPr>
          <w:rFonts w:ascii="Times New Roman" w:hAnsi="Times New Roman" w:eastAsia="MS Mincho"/>
          <w:b w:val="0"/>
          <w:i w:val="0"/>
          <w:sz w:val="24"/>
        </w:rPr>
        <w:t>Table 2 established that period-fertility analysts already solved the problem of measuring a stock process from its flow when the flow is contaminated by drift in the timing distribution. Our contribution is to show that their solution — a structural timing parameter plus a single "forgotten" quantity parameter — transposes cleanly to national wealth accounting. This is not metaphor. Both problems are instances of the same statistical object: a convolution of a quantum rate with a timing kernel whose parameters drift. The same Bongaarts-Feeney adjustment works, up to a change of units.</w:t>
      </w:r>
    </w:p>
    <w:p>
      <w:pPr>
        <w:spacing w:after="120" w:line="360" w:lineRule="auto"/>
        <w:ind w:firstLine="480"/>
      </w:pPr>
      <w:r>
        <w:rPr>
          <w:rFonts w:ascii="Times New Roman" w:hAnsi="Times New Roman" w:eastAsia="MS Mincho"/>
          <w:b w:val="0"/>
          <w:i w:val="0"/>
          <w:sz w:val="24"/>
        </w:rPr>
        <w:t xml:space="preserve">At the most conservative level, the results of Sect. 5 show that a </w:t>
      </w:r>
      <w:r>
        <w:rPr>
          <w:rFonts w:ascii="Times New Roman" w:hAnsi="Times New Roman" w:eastAsia="MS Mincho"/>
          <w:b w:val="0"/>
          <w:i/>
          <w:sz w:val="24"/>
        </w:rPr>
        <w:t>fraction</w:t>
      </w:r>
      <w:r>
        <w:rPr>
          <w:rFonts w:ascii="Times New Roman" w:hAnsi="Times New Roman" w:eastAsia="MS Mincho"/>
          <w:b w:val="0"/>
          <w:i w:val="0"/>
          <w:sz w:val="24"/>
        </w:rPr>
        <w:t xml:space="preserve"> of what we have been calling TFP growth is a book-keeping artefact that disappears once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are jointly estimated. At the other extreme, the quantum-tempo framework forces us to ask whether the conceptual separation between "real innovation" and "mis-timed accounting" was ever well-defined. If the typical investment has a longer gestation period in 2019 than in 1995 — plausibly because the share of assets whose productive deployment requires software integration, regulatory approval, and network complementarities has risen — then the accounting correction </w:t>
      </w:r>
      <w:r>
        <w:rPr>
          <w:rFonts w:ascii="Times New Roman" w:hAnsi="Times New Roman" w:eastAsia="MS Mincho"/>
          <w:b w:val="0"/>
          <w:i/>
          <w:sz w:val="24"/>
        </w:rPr>
        <w:t>is</w:t>
      </w:r>
      <w:r>
        <w:rPr>
          <w:rFonts w:ascii="Times New Roman" w:hAnsi="Times New Roman" w:eastAsia="MS Mincho"/>
          <w:b w:val="0"/>
          <w:i w:val="0"/>
          <w:sz w:val="24"/>
        </w:rPr>
        <w:t xml:space="preserve"> an economic statement about the changing composition of capital, and the boundary between "pure accounting" and "pure innovation" is porous. Our position is that the two categories should be treated symmetrically, with the same parametric machinery, rather than with the asymmetric treatment implicit in M0 (instant </w:t>
      </w:r>
      <w:r>
        <w:rPr>
          <w:rFonts w:ascii="Times New Roman" w:hAnsi="Times New Roman" w:eastAsia="MS Mincho"/>
          <w:b w:val="0"/>
          <w:i/>
          <w:sz w:val="24"/>
        </w:rPr>
        <w:t>μ</w:t>
      </w:r>
      <w:r>
        <w:rPr>
          <w:rFonts w:ascii="Times New Roman" w:hAnsi="Times New Roman" w:eastAsia="MS Mincho"/>
          <w:b w:val="0"/>
          <w:i w:val="0"/>
          <w:sz w:val="24"/>
        </w:rPr>
        <w:t xml:space="preserve">, zero </w:t>
      </w:r>
      <w:r>
        <w:rPr>
          <w:rFonts w:ascii="Times New Roman" w:hAnsi="Times New Roman" w:eastAsia="MS Mincho"/>
          <w:b w:val="0"/>
          <w:i/>
          <w:sz w:val="24"/>
        </w:rPr>
        <w:t>β</w:t>
      </w:r>
      <w:r>
        <w:rPr>
          <w:rFonts w:ascii="Times New Roman" w:hAnsi="Times New Roman" w:eastAsia="MS Mincho"/>
          <w:b w:val="0"/>
          <w:i w:val="0"/>
          <w:sz w:val="24"/>
        </w:rPr>
        <w:t>) that has dominated a half-century of growth accounting.</w:t>
      </w:r>
    </w:p>
    <w:p>
      <w:pPr>
        <w:spacing w:before="360" w:after="120" w:line="360" w:lineRule="auto"/>
      </w:pPr>
      <w:r>
        <w:rPr>
          <w:rFonts w:ascii="Times New Roman" w:hAnsi="Times New Roman" w:eastAsia="MS Mincho"/>
          <w:b/>
          <w:i w:val="0"/>
          <w:sz w:val="24"/>
        </w:rPr>
        <w:t>6.3 Identification strategy and credibility</w:t>
      </w:r>
    </w:p>
    <w:p>
      <w:pPr>
        <w:spacing w:after="120" w:line="360" w:lineRule="auto"/>
        <w:ind w:firstLine="480"/>
      </w:pPr>
      <w:r>
        <w:rPr>
          <w:rFonts w:ascii="Times New Roman" w:hAnsi="Times New Roman" w:eastAsia="MS Mincho"/>
          <w:b w:val="0"/>
          <w:i w:val="0"/>
          <w:sz w:val="24"/>
        </w:rPr>
        <w:t xml:space="preserve">A natural objection is that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may not be separately identified from the production-side data alone: a higher lag </w:t>
      </w:r>
      <w:r>
        <w:rPr>
          <w:rFonts w:ascii="Times New Roman" w:hAnsi="Times New Roman" w:eastAsia="MS Mincho"/>
          <w:b w:val="0"/>
          <w:i/>
          <w:sz w:val="24"/>
        </w:rPr>
        <w:t>μ</w:t>
      </w:r>
      <w:r>
        <w:rPr>
          <w:rFonts w:ascii="Times New Roman" w:hAnsi="Times New Roman" w:eastAsia="MS Mincho"/>
          <w:b w:val="0"/>
          <w:i w:val="0"/>
          <w:sz w:val="24"/>
        </w:rPr>
        <w:t xml:space="preserve"> slows measured capital accumulation in much the same way as a lower intangible share </w:t>
      </w:r>
      <w:r>
        <w:rPr>
          <w:rFonts w:ascii="Times New Roman" w:hAnsi="Times New Roman" w:eastAsia="MS Mincho"/>
          <w:b w:val="0"/>
          <w:i/>
          <w:sz w:val="24"/>
        </w:rPr>
        <w:t>β</w:t>
      </w:r>
      <w:r>
        <w:rPr>
          <w:rFonts w:ascii="Times New Roman" w:hAnsi="Times New Roman" w:eastAsia="MS Mincho"/>
          <w:b w:val="0"/>
          <w:i w:val="0"/>
          <w:sz w:val="24"/>
        </w:rPr>
        <w:t>. Our identification strategy therefore relies on three distinct sources of variation, each of which resolves a different dimension of the parameter space.</w:t>
      </w:r>
    </w:p>
    <w:p>
      <w:pPr>
        <w:spacing w:after="120" w:line="360" w:lineRule="auto"/>
        <w:ind w:firstLine="480"/>
      </w:pPr>
      <w:r>
        <w:rPr>
          <w:rFonts w:ascii="Times New Roman" w:hAnsi="Times New Roman" w:eastAsia="MS Mincho"/>
          <w:b w:val="0"/>
          <w:i/>
          <w:sz w:val="24"/>
        </w:rPr>
        <w:t>First, the wealth-side constraint.</w:t>
      </w:r>
      <w:r>
        <w:rPr>
          <w:rFonts w:ascii="Times New Roman" w:hAnsi="Times New Roman" w:eastAsia="MS Mincho"/>
          <w:b w:val="0"/>
          <w:i w:val="0"/>
          <w:sz w:val="24"/>
        </w:rPr>
        <w:t xml:space="preserve"> The joint loss (2) simultaneously penalises production-side growth-rate residuals and wealth-side trajectory deviations. Because CWON produced capital NW.PCA.TO is an independent measurement — compiled from national balance sheets with their own asset-life assumptions, revaluation conventions, and depreciation schedules — the wealth constraint provides an external discipline that the production residuals alone cannot. The bootstrap evidence in Sect. 5.4 quantifies this: production-side residuals alone leave the 95 % region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as a broad ridge for most countries; adding the wealth constraint collapses the ridge to a point for 28 of 39 countries at 5 %. The collapse is itself a testable implication: if the wealth data were uninformative, the joint and production-only posteriors would coincide.</w:t>
      </w:r>
    </w:p>
    <w:p>
      <w:pPr>
        <w:spacing w:after="120" w:line="360" w:lineRule="auto"/>
        <w:ind w:firstLine="480"/>
      </w:pPr>
      <w:r>
        <w:rPr>
          <w:rFonts w:ascii="Times New Roman" w:hAnsi="Times New Roman" w:eastAsia="MS Mincho"/>
          <w:b w:val="0"/>
          <w:i/>
          <w:sz w:val="24"/>
        </w:rPr>
        <w:t>Second, cross-country heterogeneity in asset composition.</w:t>
      </w:r>
      <w:r>
        <w:rPr>
          <w:rFonts w:ascii="Times New Roman" w:hAnsi="Times New Roman" w:eastAsia="MS Mincho"/>
          <w:b w:val="0"/>
          <w:i w:val="0"/>
          <w:sz w:val="24"/>
        </w:rPr>
        <w:t xml:space="preserve"> Countries with systematically different R&amp;D intensities trace out different regions of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xml:space="preserve">) space. The positive gradient of </w:t>
      </w:r>
      <w:r>
        <w:rPr>
          <w:rFonts w:ascii="Times New Roman" w:hAnsi="Times New Roman" w:eastAsia="MS Mincho"/>
          <w:b w:val="0"/>
          <w:i/>
          <w:sz w:val="24"/>
        </w:rPr>
        <w:t>ρ</w:t>
      </w:r>
      <w:r>
        <w:rPr>
          <w:rFonts w:ascii="Times New Roman" w:hAnsi="Times New Roman" w:eastAsia="MS Mincho"/>
          <w:b w:val="0"/>
          <w:i w:val="0"/>
          <w:sz w:val="24"/>
        </w:rPr>
        <w:t xml:space="preserve">̂₂ on R&amp;D intensity reported in Sect. 5.9 (slope = 0.068, t = 2.34 under M4) is consistent with the interpretation that </w:t>
      </w:r>
      <w:r>
        <w:rPr>
          <w:rFonts w:ascii="Times New Roman" w:hAnsi="Times New Roman" w:eastAsia="MS Mincho"/>
          <w:b w:val="0"/>
          <w:i/>
          <w:sz w:val="24"/>
        </w:rPr>
        <w:t>β</w:t>
      </w:r>
      <w:r>
        <w:rPr>
          <w:rFonts w:ascii="Times New Roman" w:hAnsi="Times New Roman" w:eastAsia="MS Mincho"/>
          <w:b w:val="0"/>
          <w:i w:val="0"/>
          <w:sz w:val="24"/>
        </w:rPr>
        <w:t xml:space="preserve"> captures a component correlated with — but not mechanically determined by — observable R&amp;D spending. If </w:t>
      </w:r>
      <w:r>
        <w:rPr>
          <w:rFonts w:ascii="Times New Roman" w:hAnsi="Times New Roman" w:eastAsia="MS Mincho"/>
          <w:b w:val="0"/>
          <w:i/>
          <w:sz w:val="24"/>
        </w:rPr>
        <w:t>β</w:t>
      </w:r>
      <w:r>
        <w:rPr>
          <w:rFonts w:ascii="Times New Roman" w:hAnsi="Times New Roman" w:eastAsia="MS Mincho"/>
          <w:b w:val="0"/>
          <w:i w:val="0"/>
          <w:sz w:val="24"/>
        </w:rPr>
        <w:t xml:space="preserve"> were merely absorbing production-side noise unrelated to intangibles, there would be no reason for the cross-sectional gradient to steepen under M4 relative to M0.</w:t>
      </w:r>
    </w:p>
    <w:p>
      <w:pPr>
        <w:spacing w:after="120" w:line="360" w:lineRule="auto"/>
        <w:ind w:firstLine="480"/>
      </w:pPr>
      <w:r>
        <w:rPr>
          <w:rFonts w:ascii="Times New Roman" w:hAnsi="Times New Roman" w:eastAsia="MS Mincho"/>
          <w:b w:val="0"/>
          <w:i/>
          <w:sz w:val="24"/>
        </w:rPr>
        <w:t>Third, the depreciation-sensitivity check.</w:t>
      </w:r>
      <w:r>
        <w:rPr>
          <w:rFonts w:ascii="Times New Roman" w:hAnsi="Times New Roman" w:eastAsia="MS Mincho"/>
          <w:b w:val="0"/>
          <w:i w:val="0"/>
          <w:sz w:val="24"/>
        </w:rPr>
        <w:t xml:space="preserve"> The </w:t>
      </w:r>
      <w:r>
        <w:rPr>
          <w:rFonts w:ascii="Times New Roman" w:hAnsi="Times New Roman" w:eastAsia="MS Mincho"/>
          <w:b w:val="0"/>
          <w:i/>
          <w:sz w:val="24"/>
        </w:rPr>
        <w:t>δ</w:t>
      </w:r>
      <w:r>
        <w:rPr>
          <w:rFonts w:ascii="Times New Roman" w:hAnsi="Times New Roman" w:eastAsia="MS Mincho"/>
          <w:b w:val="0"/>
          <w:i w:val="0"/>
          <w:sz w:val="24"/>
        </w:rPr>
        <w:t xml:space="preserve">-perturbation experiment in Sect. 5.6 addresses the concern that a drifting depreciation rate could mimic the tempo effect. The finding that </w:t>
      </w:r>
      <w:r>
        <w:rPr>
          <w:rFonts w:ascii="Times New Roman" w:hAnsi="Times New Roman" w:eastAsia="MS Mincho"/>
          <w:b w:val="0"/>
          <w:i/>
          <w:sz w:val="24"/>
        </w:rPr>
        <w:t>μ</w:t>
      </w:r>
      <w:r>
        <w:rPr>
          <w:rFonts w:ascii="Times New Roman" w:hAnsi="Times New Roman" w:eastAsia="MS Mincho"/>
          <w:b w:val="0"/>
          <w:i w:val="0"/>
          <w:sz w:val="24"/>
        </w:rPr>
        <w:t>̂ is stable to within 6 % of the baseline estimate across a ±20 % depreciation perturbation implies that the tempo parameter is not an artefact of depreciation mis-measurement; the two channels are empirically separable under the grid-search protocol, even though they are theoretically confounded in a single-equation setting.</w:t>
      </w:r>
    </w:p>
    <w:p>
      <w:pPr>
        <w:spacing w:after="120" w:line="360" w:lineRule="auto"/>
        <w:ind w:firstLine="480"/>
      </w:pPr>
      <w:r>
        <w:rPr>
          <w:rFonts w:ascii="Times New Roman" w:hAnsi="Times New Roman" w:eastAsia="MS Mincho"/>
          <w:b w:val="0"/>
          <w:i w:val="0"/>
          <w:sz w:val="24"/>
        </w:rPr>
        <w:t xml:space="preserve">We acknowledge that none of these arguments constitutes a structural identification proof of the kind available in natural-experiment or instrumental-variable designs. The framework here is a calibrated decomposition, not a causal model. What the three sources of variation collectively establish is that the decomposition is </w:t>
      </w:r>
      <w:r>
        <w:rPr>
          <w:rFonts w:ascii="Times New Roman" w:hAnsi="Times New Roman" w:eastAsia="MS Mincho"/>
          <w:b w:val="0"/>
          <w:i/>
          <w:sz w:val="24"/>
        </w:rPr>
        <w:t>disciplined</w:t>
      </w:r>
      <w:r>
        <w:rPr>
          <w:rFonts w:ascii="Times New Roman" w:hAnsi="Times New Roman" w:eastAsia="MS Mincho"/>
          <w:b w:val="0"/>
          <w:i w:val="0"/>
          <w:sz w:val="24"/>
        </w:rPr>
        <w:t xml:space="preserve"> — it is not an unconstrained statistical exercise but a system of accounting identities whose parameters are pinned down by the requirement that flow and stock accounts agree — and that the resulting parameter estimates move in the directions predicted by economic theory (higher </w:t>
      </w:r>
      <w:r>
        <w:rPr>
          <w:rFonts w:ascii="Times New Roman" w:hAnsi="Times New Roman" w:eastAsia="MS Mincho"/>
          <w:b w:val="0"/>
          <w:i/>
          <w:sz w:val="24"/>
        </w:rPr>
        <w:t>μ</w:t>
      </w:r>
      <w:r>
        <w:rPr>
          <w:rFonts w:ascii="Times New Roman" w:hAnsi="Times New Roman" w:eastAsia="MS Mincho"/>
          <w:b w:val="0"/>
          <w:i w:val="0"/>
          <w:sz w:val="24"/>
        </w:rPr>
        <w:t xml:space="preserve"> in economies with longer-gestation investment, higher </w:t>
      </w:r>
      <w:r>
        <w:rPr>
          <w:rFonts w:ascii="Times New Roman" w:hAnsi="Times New Roman" w:eastAsia="MS Mincho"/>
          <w:b w:val="0"/>
          <w:i/>
          <w:sz w:val="24"/>
        </w:rPr>
        <w:t>β</w:t>
      </w:r>
      <w:r>
        <w:rPr>
          <w:rFonts w:ascii="Times New Roman" w:hAnsi="Times New Roman" w:eastAsia="MS Mincho"/>
          <w:b w:val="0"/>
          <w:i w:val="0"/>
          <w:sz w:val="24"/>
        </w:rPr>
        <w:t xml:space="preserve"> in economies with more R&amp;D). Whether the decomposition is unique in a deeper structural sense — whether alternative parameter configurations could generate the same observables — is a question we leave to future work with richer asset-class data.</w:t>
      </w:r>
    </w:p>
    <w:p>
      <w:pPr>
        <w:spacing w:before="360" w:after="120" w:line="360" w:lineRule="auto"/>
      </w:pPr>
      <w:r>
        <w:rPr>
          <w:rFonts w:ascii="Times New Roman" w:hAnsi="Times New Roman" w:eastAsia="MS Mincho"/>
          <w:b/>
          <w:i w:val="0"/>
          <w:sz w:val="24"/>
        </w:rPr>
        <w:t>6.4 Flow–stock reconciliation and Beyond-GDP</w:t>
      </w:r>
    </w:p>
    <w:p>
      <w:pPr>
        <w:spacing w:after="120" w:line="360" w:lineRule="auto"/>
        <w:ind w:firstLine="480"/>
      </w:pPr>
      <w:r>
        <w:rPr>
          <w:rFonts w:ascii="Times New Roman" w:hAnsi="Times New Roman" w:eastAsia="MS Mincho"/>
          <w:b w:val="0"/>
          <w:i w:val="0"/>
          <w:sz w:val="24"/>
        </w:rPr>
        <w:t xml:space="preserve">The Beyond-GDP programme has spent twenty years arguing that flow measures (GDP) should be replaced or augmented by stock measures (IWI, CWON, SEEA). Our results suggest a more constructive synthesis: flow and stock measures are </w:t>
      </w:r>
      <w:r>
        <w:rPr>
          <w:rFonts w:ascii="Times New Roman" w:hAnsi="Times New Roman" w:eastAsia="MS Mincho"/>
          <w:b w:val="0"/>
          <w:i/>
          <w:sz w:val="24"/>
        </w:rPr>
        <w:t>both</w:t>
      </w:r>
      <w:r>
        <w:rPr>
          <w:rFonts w:ascii="Times New Roman" w:hAnsi="Times New Roman" w:eastAsia="MS Mincho"/>
          <w:b w:val="0"/>
          <w:i w:val="0"/>
          <w:sz w:val="24"/>
        </w:rPr>
        <w:t xml:space="preserve"> biased by ignored hidden parameters, and they bias </w:t>
      </w:r>
      <w:r>
        <w:rPr>
          <w:rFonts w:ascii="Times New Roman" w:hAnsi="Times New Roman" w:eastAsia="MS Mincho"/>
          <w:b w:val="0"/>
          <w:i/>
          <w:sz w:val="24"/>
        </w:rPr>
        <w:t>in the same direction</w:t>
      </w:r>
      <w:r>
        <w:rPr>
          <w:rFonts w:ascii="Times New Roman" w:hAnsi="Times New Roman" w:eastAsia="MS Mincho"/>
          <w:b w:val="0"/>
          <w:i w:val="0"/>
          <w:sz w:val="24"/>
        </w:rPr>
        <w:t xml:space="preserve"> once the parameters are made explicit. A reader who trusts CWON-produced capital as a gold standard for wealth accounting should also trust a PIM stock built with a time-varying </w:t>
      </w:r>
      <w:r>
        <w:rPr>
          <w:rFonts w:ascii="Times New Roman" w:hAnsi="Times New Roman" w:eastAsia="MS Mincho"/>
          <w:b w:val="0"/>
          <w:i/>
          <w:sz w:val="24"/>
        </w:rPr>
        <w:t>μ</w:t>
      </w:r>
      <w:r>
        <w:rPr>
          <w:rFonts w:ascii="Times New Roman" w:hAnsi="Times New Roman" w:eastAsia="MS Mincho"/>
          <w:b w:val="0"/>
          <w:i w:val="0"/>
          <w:sz w:val="24"/>
        </w:rPr>
        <w:t xml:space="preserve">(t) and a nonzero </w:t>
      </w:r>
      <w:r>
        <w:rPr>
          <w:rFonts w:ascii="Times New Roman" w:hAnsi="Times New Roman" w:eastAsia="MS Mincho"/>
          <w:b w:val="0"/>
          <w:i/>
          <w:sz w:val="24"/>
        </w:rPr>
        <w:t>β</w:t>
      </w:r>
      <w:r>
        <w:rPr>
          <w:rFonts w:ascii="Times New Roman" w:hAnsi="Times New Roman" w:eastAsia="MS Mincho"/>
          <w:b w:val="0"/>
          <w:i w:val="0"/>
          <w:sz w:val="24"/>
        </w:rPr>
        <w:t xml:space="preserve">, because those two series now agree to 1–2 % for most countries (Fig. 3). The practical route to Beyond-GDP is not to abandon the flow account but to audit it for tempo drift and for hidden </w:t>
      </w:r>
      <w:r>
        <w:rPr>
          <w:rFonts w:ascii="Times New Roman" w:hAnsi="Times New Roman" w:eastAsia="MS Mincho"/>
          <w:b w:val="0"/>
          <w:i/>
          <w:sz w:val="24"/>
        </w:rPr>
        <w:t>β</w:t>
      </w:r>
      <w:r>
        <w:rPr>
          <w:rFonts w:ascii="Times New Roman" w:hAnsi="Times New Roman" w:eastAsia="MS Mincho"/>
          <w:b w:val="0"/>
          <w:i w:val="0"/>
          <w:sz w:val="24"/>
        </w:rPr>
        <w:t>, just as the period total fertility rate was audited in the late 1990s.</w:t>
      </w:r>
    </w:p>
    <w:p>
      <w:pPr>
        <w:spacing w:after="120" w:line="360" w:lineRule="auto"/>
        <w:ind w:firstLine="480"/>
      </w:pPr>
      <w:r>
        <w:rPr>
          <w:rFonts w:ascii="Times New Roman" w:hAnsi="Times New Roman" w:eastAsia="MS Mincho"/>
          <w:b w:val="0"/>
          <w:i w:val="0"/>
          <w:sz w:val="24"/>
        </w:rPr>
        <w:t xml:space="preserve">Three implications follow for the Beyond-GDP conversation specifically. First, the argument that flow and stock accounts are irreconcilable — sometimes deployed to justify replacing GDP with a composite index — is not supported by the data once the accounts are audited on the same terms: once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are allowed, the two accounts agree to within the margin that separates any two reasonable national-statistics sources. Second, the composite-index direction (a single headline number that combines produced, human, and natural capital into one aggregate) is premature until the component-by-component reconciliation has been performed; adding categories before the existing categories are internally consistent only compounds the book-keeping problem. Third, the demographic-tempo literature evolved from Bongaarts and Feeney's (1998) original adjustment to a richer multi-parameter framework (Goldstein et al., 2003; Bongaarts and Sobotka, 2012) only after the single-parameter version was taken seriously and shown to be empirically productive. Capital-accounting tempo correction is at the same stage the fertility literature was in 1998: the one-parameter version here is not the last word, but it is a necessary first stop, and further parameters — asset-class heterogeneity in </w:t>
      </w:r>
      <w:r>
        <w:rPr>
          <w:rFonts w:ascii="Times New Roman" w:hAnsi="Times New Roman" w:eastAsia="MS Mincho"/>
          <w:b w:val="0"/>
          <w:i/>
          <w:sz w:val="24"/>
        </w:rPr>
        <w:t>μ</w:t>
      </w:r>
      <w:r>
        <w:rPr>
          <w:rFonts w:ascii="Times New Roman" w:hAnsi="Times New Roman" w:eastAsia="MS Mincho"/>
          <w:b w:val="0"/>
          <w:i w:val="0"/>
          <w:sz w:val="24"/>
        </w:rPr>
        <w:t xml:space="preserve">, country-specific </w:t>
      </w:r>
      <w:r>
        <w:rPr>
          <w:rFonts w:ascii="Times New Roman" w:hAnsi="Times New Roman" w:eastAsia="MS Mincho"/>
          <w:b w:val="0"/>
          <w:i/>
          <w:sz w:val="24"/>
        </w:rPr>
        <w:t>β</w:t>
      </w:r>
      <w:r>
        <w:rPr>
          <w:rFonts w:ascii="Times New Roman" w:hAnsi="Times New Roman" w:eastAsia="MS Mincho"/>
          <w:b w:val="0"/>
          <w:i w:val="0"/>
          <w:sz w:val="24"/>
        </w:rPr>
        <w:t xml:space="preserve"> drift, interaction terms between </w:t>
      </w:r>
      <w:r>
        <w:rPr>
          <w:rFonts w:ascii="Times New Roman" w:hAnsi="Times New Roman" w:eastAsia="MS Mincho"/>
          <w:b w:val="0"/>
          <w:i/>
          <w:sz w:val="24"/>
        </w:rPr>
        <w:t>μ</w:t>
      </w:r>
      <w:r>
        <w:rPr>
          <w:rFonts w:ascii="Times New Roman" w:hAnsi="Times New Roman" w:eastAsia="MS Mincho"/>
          <w:b w:val="0"/>
          <w:i w:val="0"/>
          <w:sz w:val="24"/>
        </w:rPr>
        <w:t xml:space="preserve"> and depreciation </w:t>
      </w:r>
      <w:r>
        <w:rPr>
          <w:rFonts w:ascii="Times New Roman" w:hAnsi="Times New Roman" w:eastAsia="MS Mincho"/>
          <w:b w:val="0"/>
          <w:i/>
          <w:sz w:val="24"/>
        </w:rPr>
        <w:t>δ</w:t>
      </w:r>
      <w:r>
        <w:rPr>
          <w:rFonts w:ascii="Times New Roman" w:hAnsi="Times New Roman" w:eastAsia="MS Mincho"/>
          <w:b w:val="0"/>
          <w:i w:val="0"/>
          <w:sz w:val="24"/>
        </w:rPr>
        <w:t xml:space="preserve"> — are the natural next layer of refinement.</w:t>
      </w:r>
    </w:p>
    <w:p>
      <w:pPr>
        <w:spacing w:before="360" w:after="120" w:line="360" w:lineRule="auto"/>
      </w:pPr>
      <w:r>
        <w:rPr>
          <w:rFonts w:ascii="Times New Roman" w:hAnsi="Times New Roman" w:eastAsia="MS Mincho"/>
          <w:b/>
          <w:i w:val="0"/>
          <w:sz w:val="24"/>
        </w:rPr>
        <w:t>6.5 Medical preview</w:t>
      </w:r>
    </w:p>
    <w:p>
      <w:pPr>
        <w:spacing w:after="120" w:line="360" w:lineRule="auto"/>
        <w:ind w:firstLine="480"/>
      </w:pPr>
      <w:r>
        <w:rPr>
          <w:rFonts w:ascii="Times New Roman" w:hAnsi="Times New Roman" w:eastAsia="MS Mincho"/>
          <w:b w:val="0"/>
          <w:i w:val="0"/>
          <w:sz w:val="24"/>
        </w:rPr>
        <w:t>The same machinery extends naturally to health expenditure, which is why we use the term "capital-accounting tempo effect" rather than "GDP tempo effect": the quantum-tempo decomposition is not specific to income statistics but to any stock-of-outcomes process whose flow is contaminated by drift in the timing distribution. A companion paper (in preparation) shows that the median lag from health expenditure to life-expectancy outcomes has been rising by roughly 0.15 years per calendar year since 2000 across the OECD, and that an analogous forgotten parameter — the share of health expenditure directed to prevention and R&amp;D rather than to curative care — explains an additional share of the United States-Japan life-expectancy gap. The substantive implication, consistent with the World Health Organization's Healthy Life Expectancy programme (Salomon et al., 2012) but not yet embedded in any official wealth account, is that a country with a low intangible-health share (predominantly curative, low prevention and research) will look more efficient in a naive per-capita expenditure comparison but less resilient in the stock sense. The broader point is that any stock-of-outcomes process whose timing structure drifts — the "healthy life years" stock, the human-capital stock, the stock of accumulated medical R&amp;D, and by extension the stock of climate adaptation capital — admits the same tempo-plus-forgotten-parameter correction developed here. Cross-walking the capital-accounting machinery to each of these domains is a programme, not a single paper; the present paper is the first stop on that programme.</w:t>
      </w:r>
    </w:p>
    <w:p>
      <w:pPr>
        <w:spacing w:before="360" w:after="120" w:line="360" w:lineRule="auto"/>
      </w:pPr>
      <w:r>
        <w:rPr>
          <w:rFonts w:ascii="Times New Roman" w:hAnsi="Times New Roman" w:eastAsia="MS Mincho"/>
          <w:b/>
          <w:i w:val="0"/>
          <w:sz w:val="24"/>
        </w:rPr>
        <w:t>6.6 Limitations</w:t>
      </w:r>
    </w:p>
    <w:p>
      <w:pPr>
        <w:spacing w:after="120" w:line="360" w:lineRule="auto"/>
        <w:ind w:firstLine="480"/>
      </w:pPr>
      <w:r>
        <w:rPr>
          <w:rFonts w:ascii="Times New Roman" w:hAnsi="Times New Roman" w:eastAsia="MS Mincho"/>
          <w:b w:val="0"/>
          <w:i w:val="0"/>
          <w:sz w:val="24"/>
        </w:rPr>
        <w:t xml:space="preserve">Three caveats apply. First, our identification of </w:t>
      </w:r>
      <w:r>
        <w:rPr>
          <w:rFonts w:ascii="Times New Roman" w:hAnsi="Times New Roman" w:eastAsia="MS Mincho"/>
          <w:b w:val="0"/>
          <w:i/>
          <w:sz w:val="24"/>
        </w:rPr>
        <w:t>β</w:t>
      </w:r>
      <w:r>
        <w:rPr>
          <w:rFonts w:ascii="Times New Roman" w:hAnsi="Times New Roman" w:eastAsia="MS Mincho"/>
          <w:b w:val="0"/>
          <w:i w:val="0"/>
          <w:sz w:val="24"/>
        </w:rPr>
        <w:t xml:space="preserve"> against CWON is only as clean as CWON itself, and CWON combines national sources of heterogeneous quality — in particular, the treatment of land and sub-soil assets differs materially between Europe and the United States (Lange et al., 2018, Chap. 2), and our residual gap for Japan is at least partly attributable to land-price revaluations that CWON carries but our PIM construction does not. Second, the bootstrap CIs (Sect. 5.4) are wide for countries with short series or volatile investment, and we do not claim point identification for those countries; the framework provides interval estimates and a direction, and any country-specific policy conclusion should be cross-checked with national-accounts micro-data before being taken as settled. Third, the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sensitivity experiment (Sect. 5.3) treats the CWON deflator as a single country-level scalar; a more careful study would use sector-specific deflators, national land-price indices, and Tornqvist chained price indices for intangibles (Jorgenson et al., 2018), and is left to future work. A fourth caveat, perhaps the most important, is that the demographic-tempo analogy is suggestive but not exact: demographic stocks depreciate via well-measured mortality rates, whereas capital stocks depreciate via </w:t>
      </w:r>
      <w:r>
        <w:rPr>
          <w:rFonts w:ascii="Times New Roman" w:hAnsi="Times New Roman" w:eastAsia="MS Mincho"/>
          <w:b w:val="0"/>
          <w:i/>
          <w:sz w:val="24"/>
        </w:rPr>
        <w:t>δ</w:t>
      </w:r>
      <w:r>
        <w:rPr>
          <w:rFonts w:ascii="Times New Roman" w:hAnsi="Times New Roman" w:eastAsia="MS Mincho"/>
          <w:b w:val="0"/>
          <w:i/>
          <w:sz w:val="24"/>
          <w:vertAlign w:val="subscript"/>
        </w:rPr>
        <w:t>t</w:t>
      </w:r>
      <w:r>
        <w:rPr>
          <w:rFonts w:ascii="Times New Roman" w:hAnsi="Times New Roman" w:eastAsia="MS Mincho"/>
          <w:b w:val="0"/>
          <w:i w:val="0"/>
          <w:sz w:val="24"/>
        </w:rPr>
        <w:t xml:space="preserve"> that is itself a derived estimate in PWT and is known to be imprecisely measured in transition economies (Inklaar and Timmer, 2013). If the true </w:t>
      </w:r>
      <w:r>
        <w:rPr>
          <w:rFonts w:ascii="Times New Roman" w:hAnsi="Times New Roman" w:eastAsia="MS Mincho"/>
          <w:b w:val="0"/>
          <w:i/>
          <w:sz w:val="24"/>
        </w:rPr>
        <w:t>δ</w:t>
      </w:r>
      <w:r>
        <w:rPr>
          <w:rFonts w:ascii="Times New Roman" w:hAnsi="Times New Roman" w:eastAsia="MS Mincho"/>
          <w:b w:val="0"/>
          <w:i w:val="0"/>
          <w:sz w:val="24"/>
        </w:rPr>
        <w:t xml:space="preserve"> is itself drifting, some of what we attribute to </w:t>
      </w:r>
      <w:r>
        <w:rPr>
          <w:rFonts w:ascii="Times New Roman" w:hAnsi="Times New Roman" w:eastAsia="MS Mincho"/>
          <w:b w:val="0"/>
          <w:i/>
          <w:sz w:val="24"/>
        </w:rPr>
        <w:t>μ</w:t>
      </w:r>
      <w:r>
        <w:rPr>
          <w:rFonts w:ascii="Times New Roman" w:hAnsi="Times New Roman" w:eastAsia="MS Mincho"/>
          <w:b w:val="0"/>
          <w:i w:val="0"/>
          <w:sz w:val="24"/>
        </w:rPr>
        <w:t xml:space="preserve">(t) could instead be absorbed by a time-varying </w:t>
      </w:r>
      <w:r>
        <w:rPr>
          <w:rFonts w:ascii="Times New Roman" w:hAnsi="Times New Roman" w:eastAsia="MS Mincho"/>
          <w:b w:val="0"/>
          <w:i/>
          <w:sz w:val="24"/>
        </w:rPr>
        <w:t>δ</w:t>
      </w:r>
      <w:r>
        <w:rPr>
          <w:rFonts w:ascii="Times New Roman" w:hAnsi="Times New Roman" w:eastAsia="MS Mincho"/>
          <w:b w:val="0"/>
          <w:i w:val="0"/>
          <w:sz w:val="24"/>
        </w:rPr>
        <w:t>(t). Disentangling these two drifts requires auxiliary data on capacity utilisation and asset retirements that is not uniformly available across the 39 countries in our sample.</w:t>
      </w:r>
    </w:p>
    <w:p>
      <w:pPr>
        <w:spacing w:before="360" w:after="120" w:line="360" w:lineRule="auto"/>
      </w:pPr>
      <w:r>
        <w:rPr>
          <w:rFonts w:ascii="Times New Roman" w:hAnsi="Times New Roman" w:eastAsia="MS Mincho"/>
          <w:b/>
          <w:i w:val="0"/>
          <w:sz w:val="28"/>
        </w:rPr>
        <w:t>7 Conclusion</w:t>
      </w:r>
    </w:p>
    <w:p>
      <w:pPr>
        <w:spacing w:after="120" w:line="360" w:lineRule="auto"/>
        <w:ind w:firstLine="480"/>
      </w:pPr>
      <w:r>
        <w:rPr>
          <w:rFonts w:ascii="Times New Roman" w:hAnsi="Times New Roman" w:eastAsia="MS Mincho"/>
          <w:b w:val="0"/>
          <w:i w:val="0"/>
          <w:sz w:val="24"/>
        </w:rPr>
        <w:t>National income and wealth accounting has been asking the wrong question. The right question is not whether to use flows or stocks, but whether the parameters that link the two — the time-to-build of investment and the share of intangible capital — are estimated or imposed. When they are imposed (</w:t>
      </w:r>
      <w:r>
        <w:rPr>
          <w:rFonts w:ascii="Times New Roman" w:hAnsi="Times New Roman" w:eastAsia="MS Mincho"/>
          <w:b w:val="0"/>
          <w:i/>
          <w:sz w:val="24"/>
        </w:rPr>
        <w:t>μ</w:t>
      </w:r>
      <w:r>
        <w:rPr>
          <w:rFonts w:ascii="Times New Roman" w:hAnsi="Times New Roman" w:eastAsia="MS Mincho"/>
          <w:b w:val="0"/>
          <w:i w:val="0"/>
          <w:sz w:val="24"/>
        </w:rPr>
        <w:t xml:space="preserve"> = 0, </w:t>
      </w:r>
      <w:r>
        <w:rPr>
          <w:rFonts w:ascii="Times New Roman" w:hAnsi="Times New Roman" w:eastAsia="MS Mincho"/>
          <w:b w:val="0"/>
          <w:i/>
          <w:sz w:val="24"/>
        </w:rPr>
        <w:t>β</w:t>
      </w:r>
      <w:r>
        <w:rPr>
          <w:rFonts w:ascii="Times New Roman" w:hAnsi="Times New Roman" w:eastAsia="MS Mincho"/>
          <w:b w:val="0"/>
          <w:i w:val="0"/>
          <w:sz w:val="24"/>
        </w:rPr>
        <w:t xml:space="preserve"> = 0) the accounting is silently biased, the Solow residual absorbs the error, and the flow and stock accounts drift apart. When they are jointly estimated against both production data (PWT) and wealth data (CWON), three things happen: the flow and stock accounts agree to within 1–2 % for most advanced economies; the out-of-sample accuracy of GDP level forecasts improves by 13 %; and up to 30 % of measured TFP-growth variance is re-attributed to tempo drift and missing intangibles rather than genuine innovation. The Beyond-GDP debate becomes a debate about which forgotten parameter matters next. Demography solved the same problem for population a quarter-century ago. Capital accounting can do the same now.</w:t>
      </w:r>
    </w:p>
    <w:p>
      <w:pPr>
        <w:spacing w:after="120" w:line="360" w:lineRule="auto"/>
        <w:ind w:firstLine="480"/>
      </w:pPr>
      <w:r>
        <w:rPr>
          <w:rFonts w:ascii="Times New Roman" w:hAnsi="Times New Roman" w:eastAsia="MS Mincho"/>
          <w:b w:val="0"/>
          <w:i w:val="0"/>
          <w:sz w:val="24"/>
        </w:rPr>
        <w:t>The scale of the empirical gains deserves a final word of calibration. A 13 % reduction in out-of-sample MAPE is, in levels, a reduction from 4.60 % to 3.99 %, which for a country with a USD 5 trillion GDP corresponds to closing a USD 30 billion annual forecast error. That is small in relative terms but large in absolute terms, and it is obtained without any new stochastic machinery, without any new data source beyond PWT and CWON, and without giving up the single-equation tractability that makes growth-accounting exercises teachable. Methodologically cheap, quantitatively material, and conceptually symmetric with a well-understood demographic precedent: those are the three qualities that in our view justify porting the quantum-tempo framework from population to capital.</w:t>
      </w:r>
    </w:p>
    <w:p>
      <w:pPr>
        <w:spacing w:after="120" w:line="360" w:lineRule="auto"/>
        <w:ind w:firstLine="480"/>
      </w:pPr>
      <w:r>
        <w:rPr>
          <w:rFonts w:ascii="Times New Roman" w:hAnsi="Times New Roman" w:eastAsia="MS Mincho"/>
          <w:b w:val="0"/>
          <w:i w:val="0"/>
          <w:sz w:val="24"/>
        </w:rPr>
        <w:t xml:space="preserve">Three practical recommendations follow from the results. First, any revision of national capital-stock estimates that treats </w:t>
      </w:r>
      <w:r>
        <w:rPr>
          <w:rFonts w:ascii="Times New Roman" w:hAnsi="Times New Roman" w:eastAsia="MS Mincho"/>
          <w:b w:val="0"/>
          <w:i/>
          <w:sz w:val="24"/>
        </w:rPr>
        <w:t>μ</w:t>
      </w:r>
      <w:r>
        <w:rPr>
          <w:rFonts w:ascii="Times New Roman" w:hAnsi="Times New Roman" w:eastAsia="MS Mincho"/>
          <w:b w:val="0"/>
          <w:i w:val="0"/>
          <w:sz w:val="24"/>
        </w:rPr>
        <w:t xml:space="preserve"> as time-invariant should be treated as provisional; the cost of re-estimating </w:t>
      </w:r>
      <w:r>
        <w:rPr>
          <w:rFonts w:ascii="Times New Roman" w:hAnsi="Times New Roman" w:eastAsia="MS Mincho"/>
          <w:b w:val="0"/>
          <w:i/>
          <w:sz w:val="24"/>
        </w:rPr>
        <w:t>μ</w:t>
      </w:r>
      <w:r>
        <w:rPr>
          <w:rFonts w:ascii="Times New Roman" w:hAnsi="Times New Roman" w:eastAsia="MS Mincho"/>
          <w:b w:val="0"/>
          <w:i w:val="0"/>
          <w:sz w:val="24"/>
        </w:rPr>
        <w:t>(t) is modest and the benefit in out-of-sample fit is comparable to adding a full suite of stochastic shocks to the production function. Second, the CWON and IWI programmes should consider publishing, alongside the point estimates, a set of joint-identified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xml:space="preserve">) values implied by the flow and stock accounts together, so that users can see at a glance whether the two accounts are internally consistent or not. Third, methodologically, there is no principled reason for TFP growth to remain the residual of first resort. A post-tempo, post-intangible residual, computed after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have absorbed their share, is a more honest benchmark for productivity growth. That residual will be smaller than the Solow number, but it will also be more informative. Demography learned to live with a smaller "unexplained" component once the period-cohort bias was acknowledged; economic measurement is overdue the same adjustment.</w:t>
      </w:r>
    </w:p>
    <w:p>
      <w:pPr>
        <w:spacing w:before="360" w:after="120" w:line="360" w:lineRule="auto"/>
      </w:pPr>
      <w:r>
        <w:rPr>
          <w:rFonts w:ascii="Times New Roman" w:hAnsi="Times New Roman" w:eastAsia="MS Mincho"/>
          <w:b/>
          <w:i w:val="0"/>
          <w:sz w:val="28"/>
        </w:rPr>
        <w:t>Tables</w:t>
      </w:r>
    </w:p>
    <w:p>
      <w:pPr>
        <w:spacing w:after="120" w:line="360" w:lineRule="auto"/>
        <w:ind w:firstLine="480"/>
      </w:pPr>
      <w:r>
        <w:rPr>
          <w:rFonts w:ascii="Times New Roman" w:hAnsi="Times New Roman" w:eastAsia="MS Mincho"/>
          <w:b/>
          <w:i w:val="0"/>
          <w:sz w:val="24"/>
        </w:rPr>
        <w:t>Table 1.</w:t>
      </w:r>
      <w:r>
        <w:rPr>
          <w:rFonts w:ascii="Times New Roman" w:hAnsi="Times New Roman" w:eastAsia="MS Mincho"/>
          <w:b w:val="0"/>
          <w:i w:val="0"/>
          <w:sz w:val="24"/>
        </w:rPr>
        <w:t xml:space="preserve"> M0–M4: In-sample and out-of-sample performance across 39 countries.</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i w:val="0"/>
          <w:sz w:val="24"/>
        </w:rPr>
        <w:t>Table 2.</w:t>
      </w:r>
      <w:r>
        <w:rPr>
          <w:rFonts w:ascii="Times New Roman" w:hAnsi="Times New Roman" w:eastAsia="MS Mincho"/>
          <w:b w:val="0"/>
          <w:i w:val="0"/>
          <w:sz w:val="24"/>
        </w:rPr>
        <w:t xml:space="preserve"> Population–capital correspondence.</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 xml:space="preserve">Time-to-build </w:t>
            </w:r>
            <w:r>
              <w:rPr>
                <w:rFonts w:ascii="Times New Roman" w:hAnsi="Times New Roman" w:eastAsia="MS Mincho"/>
                <w:b w:val="0"/>
                <w:i/>
                <w:sz w:val="20"/>
              </w:rPr>
              <w:t>μ</w:t>
            </w:r>
            <w:r>
              <w:rPr>
                <w:rFonts w:ascii="Times New Roman" w:hAnsi="Times New Roman" w:eastAsia="MS Mincho"/>
                <w:b w:val="0"/>
                <w:i w:val="0"/>
                <w:sz w:val="20"/>
              </w:rPr>
              <w:t>(t)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 = TFR/(1 − r(t))</w:t>
            </w:r>
          </w:p>
        </w:tc>
        <w:tc>
          <w:tcPr>
            <w:tcW w:type="dxa" w:w="3600"/>
          </w:tcPr>
          <w:p>
            <w:r/>
            <w:r>
              <w:rPr>
                <w:rFonts w:ascii="Times New Roman" w:hAnsi="Times New Roman" w:eastAsia="MS Mincho"/>
                <w:b w:val="0"/>
                <w:i w:val="0"/>
                <w:sz w:val="20"/>
              </w:rPr>
              <w:t xml:space="preserve">K*(t) via </w:t>
            </w:r>
            <w:r>
              <w:rPr>
                <w:rFonts w:ascii="Times New Roman" w:hAnsi="Times New Roman" w:eastAsia="MS Mincho"/>
                <w:b w:val="0"/>
                <w:i/>
                <w:sz w:val="20"/>
              </w:rPr>
              <w:t>μ</w:t>
            </w:r>
            <w:r>
              <w:rPr>
                <w:rFonts w:ascii="Times New Roman" w:hAnsi="Times New Roman" w:eastAsia="MS Mincho"/>
                <w:b w:val="0"/>
                <w:i w:val="0"/>
                <w:sz w:val="20"/>
              </w:rPr>
              <w:t>(t)-weighted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 xml:space="preserve">Parity-specific </w:t>
            </w:r>
            <w:r>
              <w:rPr>
                <w:rFonts w:ascii="Times New Roman" w:hAnsi="Times New Roman" w:eastAsia="MS Mincho"/>
                <w:b w:val="0"/>
                <w:i/>
                <w:sz w:val="20"/>
              </w:rPr>
              <w:t>σ</w:t>
            </w:r>
            <w:r>
              <w:rPr>
                <w:rFonts w:ascii="Times New Roman" w:hAnsi="Times New Roman" w:eastAsia="MS Mincho"/>
                <w:b w:val="0"/>
                <w:i w:val="0"/>
                <w:sz w:val="20"/>
              </w:rPr>
              <w:t xml:space="preserve"> (Goldstein-Lutz-Scherbov, 2003)</w:t>
            </w:r>
          </w:p>
        </w:tc>
        <w:tc>
          <w:tcPr>
            <w:tcW w:type="dxa" w:w="3600"/>
          </w:tcPr>
          <w:p>
            <w:r/>
            <w:r>
              <w:rPr>
                <w:rFonts w:ascii="Times New Roman" w:hAnsi="Times New Roman" w:eastAsia="MS Mincho"/>
                <w:b w:val="0"/>
                <w:i w:val="0"/>
                <w:sz w:val="20"/>
              </w:rPr>
              <w:t xml:space="preserve">Intangible share </w:t>
            </w:r>
            <w:r>
              <w:rPr>
                <w:rFonts w:ascii="Times New Roman" w:hAnsi="Times New Roman" w:eastAsia="MS Mincho"/>
                <w:b w:val="0"/>
                <w:i/>
                <w:sz w:val="20"/>
              </w:rPr>
              <w:t>β</w:t>
            </w:r>
            <w:r>
              <w:rPr>
                <w:rFonts w:ascii="Times New Roman" w:hAnsi="Times New Roman" w:eastAsia="MS Mincho"/>
                <w:b w:val="0"/>
                <w:i w:val="0"/>
                <w:sz w:val="20"/>
              </w:rPr>
              <w:t xml:space="preserve">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d·N</w:t>
            </w:r>
          </w:p>
        </w:tc>
        <w:tc>
          <w:tcPr>
            <w:tcW w:type="dxa" w:w="3600"/>
          </w:tcPr>
          <w:p>
            <w:r/>
            <w:r>
              <w:rPr>
                <w:rFonts w:ascii="Times New Roman" w:hAnsi="Times New Roman" w:eastAsia="MS Mincho"/>
                <w:b w:val="0"/>
                <w:i w:val="0"/>
                <w:sz w:val="20"/>
              </w:rPr>
              <w:t xml:space="preserve">dW/dt = I − </w:t>
            </w:r>
            <w:r>
              <w:rPr>
                <w:rFonts w:ascii="Times New Roman" w:hAnsi="Times New Roman" w:eastAsia="MS Mincho"/>
                <w:b w:val="0"/>
                <w:i/>
                <w:sz w:val="20"/>
              </w:rPr>
              <w:t>δ</w:t>
            </w:r>
            <w:r>
              <w:rPr>
                <w:rFonts w:ascii="Times New Roman" w:hAnsi="Times New Roman" w:eastAsia="MS Mincho"/>
                <w:b w:val="0"/>
                <w:i w:val="0"/>
                <w:sz w:val="20"/>
              </w:rPr>
              <w:t>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360" w:lineRule="auto"/>
        <w:ind w:firstLine="480"/>
      </w:pPr>
      <w:r>
        <w:rPr>
          <w:rFonts w:ascii="Times New Roman" w:hAnsi="Times New Roman" w:eastAsia="MS Mincho"/>
          <w:b/>
          <w:i w:val="0"/>
          <w:sz w:val="24"/>
        </w:rPr>
        <w:t>Table 3.</w:t>
      </w:r>
      <w:r>
        <w:rPr>
          <w:rFonts w:ascii="Times New Roman" w:hAnsi="Times New Roman" w:eastAsia="MS Mincho"/>
          <w:b w:val="0"/>
          <w:i w:val="0"/>
          <w:sz w:val="24"/>
        </w:rPr>
        <w:t xml:space="preserve"> Relational PIM diagnostics: </w:t>
      </w:r>
      <w:r>
        <w:rPr>
          <w:rFonts w:ascii="Times New Roman" w:hAnsi="Times New Roman" w:eastAsia="MS Mincho"/>
          <w:b w:val="0"/>
          <w:i/>
          <w:sz w:val="24"/>
        </w:rPr>
        <w:t>ρ</w:t>
      </w:r>
      <w:r>
        <w:rPr>
          <w:rFonts w:ascii="Times New Roman" w:hAnsi="Times New Roman" w:eastAsia="MS Mincho"/>
          <w:b w:val="0"/>
          <w:i w:val="0"/>
          <w:sz w:val="24"/>
        </w:rPr>
        <w:t>̂₂ under M0, M1, M2,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i w:val="0"/>
          <w:sz w:val="24"/>
        </w:rPr>
        <w:t>Table 4.</w:t>
      </w:r>
      <w:r>
        <w:rPr>
          <w:rFonts w:ascii="Times New Roman" w:hAnsi="Times New Roman" w:eastAsia="MS Mincho"/>
          <w:b w:val="0"/>
          <w:i w:val="0"/>
          <w:sz w:val="24"/>
        </w:rPr>
        <w:t xml:space="preserve"> Extended out-of-sample metrics: direction accuracy and CWON trajectory RMSE.</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i w:val="0"/>
          <w:sz w:val="24"/>
        </w:rPr>
        <w:t>Table 5.</w:t>
      </w:r>
      <w:r>
        <w:rPr>
          <w:rFonts w:ascii="Times New Roman" w:hAnsi="Times New Roman" w:eastAsia="MS Mincho"/>
          <w:b w:val="0"/>
          <w:i w:val="0"/>
          <w:sz w:val="24"/>
        </w:rPr>
        <w:t xml:space="preserve"> Tempo-artifact share of TFP-growth variance by country: the percentage reduction in Var(</w:t>
      </w:r>
      <w:r>
        <w:rPr>
          <w:rFonts w:ascii="Times New Roman" w:hAnsi="Times New Roman" w:eastAsia="MS Mincho"/>
          <w:b w:val="0"/>
          <w:i/>
          <w:sz w:val="24"/>
        </w:rPr>
        <w:t>Δ</w:t>
      </w:r>
      <w:r>
        <w:rPr>
          <w:rFonts w:ascii="Times New Roman" w:hAnsi="Times New Roman" w:eastAsia="MS Mincho"/>
          <w:b w:val="0"/>
          <w:i w:val="0"/>
          <w:sz w:val="24"/>
        </w:rPr>
        <w:t xml:space="preserve"> log TFP) when moving from M0 to M2 (tempo drift only) and from M0 to M4 (joint tempo + intangible).</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line="360" w:lineRule="auto"/>
      </w:pPr>
      <w:r>
        <w:rPr>
          <w:rFonts w:ascii="Times New Roman" w:hAnsi="Times New Roman" w:eastAsia="MS Mincho"/>
          <w:b/>
          <w:i w:val="0"/>
          <w:sz w:val="28"/>
        </w:rPr>
        <w:t>References</w:t>
      </w:r>
    </w:p>
    <w:p>
      <w:pPr>
        <w:spacing w:after="120" w:line="360" w:lineRule="auto"/>
        <w:ind w:firstLine="480"/>
      </w:pPr>
      <w:r>
        <w:rPr>
          <w:rFonts w:ascii="Times New Roman" w:hAnsi="Times New Roman" w:eastAsia="MS Mincho"/>
          <w:b w:val="0"/>
          <w:i w:val="0"/>
          <w:sz w:val="24"/>
        </w:rPr>
        <w:t xml:space="preserve">Altug, S. (1989). Time-to-build and aggregate fluctuations: Some new evidence. </w:t>
      </w:r>
      <w:r>
        <w:rPr>
          <w:rFonts w:ascii="Times New Roman" w:hAnsi="Times New Roman" w:eastAsia="MS Mincho"/>
          <w:b w:val="0"/>
          <w:i/>
          <w:sz w:val="24"/>
        </w:rPr>
        <w:t>International Economic Review</w:t>
      </w:r>
      <w:r>
        <w:rPr>
          <w:rFonts w:ascii="Times New Roman" w:hAnsi="Times New Roman" w:eastAsia="MS Mincho"/>
          <w:b w:val="0"/>
          <w:i w:val="0"/>
          <w:sz w:val="24"/>
        </w:rPr>
        <w:t xml:space="preserve">, </w:t>
      </w:r>
      <w:r>
        <w:rPr>
          <w:rFonts w:ascii="Times New Roman" w:hAnsi="Times New Roman" w:eastAsia="MS Mincho"/>
          <w:b w:val="0"/>
          <w:i/>
          <w:sz w:val="24"/>
        </w:rPr>
        <w:t>30</w:t>
      </w:r>
      <w:r>
        <w:rPr>
          <w:rFonts w:ascii="Times New Roman" w:hAnsi="Times New Roman" w:eastAsia="MS Mincho"/>
          <w:b w:val="0"/>
          <w:i w:val="0"/>
          <w:sz w:val="24"/>
        </w:rPr>
        <w:t>(4), 889–920.</w:t>
      </w:r>
    </w:p>
    <w:p>
      <w:pPr>
        <w:spacing w:after="120" w:line="360" w:lineRule="auto"/>
        <w:ind w:firstLine="480"/>
      </w:pPr>
      <w:r>
        <w:rPr>
          <w:rFonts w:ascii="Times New Roman" w:hAnsi="Times New Roman" w:eastAsia="MS Mincho"/>
          <w:b w:val="0"/>
          <w:i w:val="0"/>
          <w:sz w:val="24"/>
        </w:rPr>
        <w:t xml:space="preserve">Arrow, K. J., Dasgupta, P., Goulder, L. H., Mumford, K. J., &amp; Oleson, K. (2012). Sustainability and the measurement of wealth. </w:t>
      </w:r>
      <w:r>
        <w:rPr>
          <w:rFonts w:ascii="Times New Roman" w:hAnsi="Times New Roman" w:eastAsia="MS Mincho"/>
          <w:b w:val="0"/>
          <w:i/>
          <w:sz w:val="24"/>
        </w:rPr>
        <w:t>Environment and Development Economics</w:t>
      </w:r>
      <w:r>
        <w:rPr>
          <w:rFonts w:ascii="Times New Roman" w:hAnsi="Times New Roman" w:eastAsia="MS Mincho"/>
          <w:b w:val="0"/>
          <w:i w:val="0"/>
          <w:sz w:val="24"/>
        </w:rPr>
        <w:t xml:space="preserve">, </w:t>
      </w:r>
      <w:r>
        <w:rPr>
          <w:rFonts w:ascii="Times New Roman" w:hAnsi="Times New Roman" w:eastAsia="MS Mincho"/>
          <w:b w:val="0"/>
          <w:i/>
          <w:sz w:val="24"/>
        </w:rPr>
        <w:t>17</w:t>
      </w:r>
      <w:r>
        <w:rPr>
          <w:rFonts w:ascii="Times New Roman" w:hAnsi="Times New Roman" w:eastAsia="MS Mincho"/>
          <w:b w:val="0"/>
          <w:i w:val="0"/>
          <w:sz w:val="24"/>
        </w:rPr>
        <w:t>(3), 317–353. https://doi.org/10.1017/S1355770X12000137</w:t>
      </w:r>
    </w:p>
    <w:p>
      <w:pPr>
        <w:spacing w:after="120" w:line="360" w:lineRule="auto"/>
        <w:ind w:firstLine="480"/>
      </w:pPr>
      <w:r>
        <w:rPr>
          <w:rFonts w:ascii="Times New Roman" w:hAnsi="Times New Roman" w:eastAsia="MS Mincho"/>
          <w:b w:val="0"/>
          <w:i w:val="0"/>
          <w:sz w:val="24"/>
        </w:rPr>
        <w:t xml:space="preserve">Bongaarts, J., &amp; Feeney, G. (1998). On the quantum and tempo of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24</w:t>
      </w:r>
      <w:r>
        <w:rPr>
          <w:rFonts w:ascii="Times New Roman" w:hAnsi="Times New Roman" w:eastAsia="MS Mincho"/>
          <w:b w:val="0"/>
          <w:i w:val="0"/>
          <w:sz w:val="24"/>
        </w:rPr>
        <w:t>(2), 271–291. https://doi.org/10.2307/2807974</w:t>
      </w:r>
    </w:p>
    <w:p>
      <w:pPr>
        <w:spacing w:after="120" w:line="360" w:lineRule="auto"/>
        <w:ind w:firstLine="480"/>
      </w:pPr>
      <w:r>
        <w:rPr>
          <w:rFonts w:ascii="Times New Roman" w:hAnsi="Times New Roman" w:eastAsia="MS Mincho"/>
          <w:b w:val="0"/>
          <w:i w:val="0"/>
          <w:sz w:val="24"/>
        </w:rPr>
        <w:t xml:space="preserve">Bongaarts, J., &amp; Sobotka, T. (2012). A demographic explanation for the recent rise in European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38</w:t>
      </w:r>
      <w:r>
        <w:rPr>
          <w:rFonts w:ascii="Times New Roman" w:hAnsi="Times New Roman" w:eastAsia="MS Mincho"/>
          <w:b w:val="0"/>
          <w:i w:val="0"/>
          <w:sz w:val="24"/>
        </w:rPr>
        <w:t>(1), 83–120. https://doi.org/10.1111/j.1728-4457.2012.00473.x</w:t>
      </w:r>
    </w:p>
    <w:p>
      <w:pPr>
        <w:spacing w:after="120" w:line="360" w:lineRule="auto"/>
        <w:ind w:firstLine="480"/>
      </w:pPr>
      <w:r>
        <w:rPr>
          <w:rFonts w:ascii="Times New Roman" w:hAnsi="Times New Roman" w:eastAsia="MS Mincho"/>
          <w:b w:val="0"/>
          <w:i w:val="0"/>
          <w:sz w:val="24"/>
        </w:rPr>
        <w:t xml:space="preserve">Brass, W. (1971). On the scale of mortality. In W. Brass (Ed.), </w:t>
      </w:r>
      <w:r>
        <w:rPr>
          <w:rFonts w:ascii="Times New Roman" w:hAnsi="Times New Roman" w:eastAsia="MS Mincho"/>
          <w:b w:val="0"/>
          <w:i/>
          <w:sz w:val="24"/>
        </w:rPr>
        <w:t>Biological aspects of demography</w:t>
      </w:r>
      <w:r>
        <w:rPr>
          <w:rFonts w:ascii="Times New Roman" w:hAnsi="Times New Roman" w:eastAsia="MS Mincho"/>
          <w:b w:val="0"/>
          <w:i w:val="0"/>
          <w:sz w:val="24"/>
        </w:rPr>
        <w:t xml:space="preserve"> (pp. 69–110). Taylor and Francis.</w:t>
      </w:r>
    </w:p>
    <w:p>
      <w:pPr>
        <w:spacing w:after="120" w:line="360" w:lineRule="auto"/>
        <w:ind w:firstLine="480"/>
      </w:pPr>
      <w:r>
        <w:rPr>
          <w:rFonts w:ascii="Times New Roman" w:hAnsi="Times New Roman" w:eastAsia="MS Mincho"/>
          <w:b w:val="0"/>
          <w:i w:val="0"/>
          <w:sz w:val="24"/>
        </w:rPr>
        <w:t xml:space="preserve">Christiano, L. J., &amp; Todd, R. M. (1996). Time to plan and aggregate fluctuations. </w:t>
      </w:r>
      <w:r>
        <w:rPr>
          <w:rFonts w:ascii="Times New Roman" w:hAnsi="Times New Roman" w:eastAsia="MS Mincho"/>
          <w:b w:val="0"/>
          <w:i/>
          <w:sz w:val="24"/>
        </w:rPr>
        <w:t>Federal Reserve Bank of Minneapolis Quarterly Review</w:t>
      </w:r>
      <w:r>
        <w:rPr>
          <w:rFonts w:ascii="Times New Roman" w:hAnsi="Times New Roman" w:eastAsia="MS Mincho"/>
          <w:b w:val="0"/>
          <w:i w:val="0"/>
          <w:sz w:val="24"/>
        </w:rPr>
        <w:t xml:space="preserve">, </w:t>
      </w:r>
      <w:r>
        <w:rPr>
          <w:rFonts w:ascii="Times New Roman" w:hAnsi="Times New Roman" w:eastAsia="MS Mincho"/>
          <w:b w:val="0"/>
          <w:i/>
          <w:sz w:val="24"/>
        </w:rPr>
        <w:t>20</w:t>
      </w:r>
      <w:r>
        <w:rPr>
          <w:rFonts w:ascii="Times New Roman" w:hAnsi="Times New Roman" w:eastAsia="MS Mincho"/>
          <w:b w:val="0"/>
          <w:i w:val="0"/>
          <w:sz w:val="24"/>
        </w:rPr>
        <w:t>(1), 14–27.</w:t>
      </w:r>
    </w:p>
    <w:p>
      <w:pPr>
        <w:spacing w:after="120" w:line="360" w:lineRule="auto"/>
        <w:ind w:firstLine="480"/>
      </w:pPr>
      <w:r>
        <w:rPr>
          <w:rFonts w:ascii="Times New Roman" w:hAnsi="Times New Roman" w:eastAsia="MS Mincho"/>
          <w:b w:val="0"/>
          <w:i w:val="0"/>
          <w:sz w:val="24"/>
        </w:rPr>
        <w:t xml:space="preserve">Corrado, C., Hulten, C., &amp; Sichel, D. (2005). Measuring capital and technology: An expanded framework. In C. Corrado, J. Haltiwanger, &amp; D. Sichel (Eds.), </w:t>
      </w:r>
      <w:r>
        <w:rPr>
          <w:rFonts w:ascii="Times New Roman" w:hAnsi="Times New Roman" w:eastAsia="MS Mincho"/>
          <w:b w:val="0"/>
          <w:i/>
          <w:sz w:val="24"/>
        </w:rPr>
        <w:t>Measuring capital in the new economy</w:t>
      </w:r>
      <w:r>
        <w:rPr>
          <w:rFonts w:ascii="Times New Roman" w:hAnsi="Times New Roman" w:eastAsia="MS Mincho"/>
          <w:b w:val="0"/>
          <w:i w:val="0"/>
          <w:sz w:val="24"/>
        </w:rPr>
        <w:t xml:space="preserve"> (pp. 11–46). University of Chicago Press. https://doi.org/10.7208/chicago/9780226116174.003.0002</w:t>
      </w:r>
    </w:p>
    <w:p>
      <w:pPr>
        <w:spacing w:after="120" w:line="360" w:lineRule="auto"/>
        <w:ind w:firstLine="480"/>
      </w:pPr>
      <w:r>
        <w:rPr>
          <w:rFonts w:ascii="Times New Roman" w:hAnsi="Times New Roman" w:eastAsia="MS Mincho"/>
          <w:b w:val="0"/>
          <w:i w:val="0"/>
          <w:sz w:val="24"/>
        </w:rPr>
        <w:t xml:space="preserve">Corrado, C., Hulten, C., &amp; Sichel, D. (2009). Intangible capital and US economic growth. </w:t>
      </w:r>
      <w:r>
        <w:rPr>
          <w:rFonts w:ascii="Times New Roman" w:hAnsi="Times New Roman" w:eastAsia="MS Mincho"/>
          <w:b w:val="0"/>
          <w:i/>
          <w:sz w:val="24"/>
        </w:rPr>
        <w:t>Review of Income and Wealth</w:t>
      </w:r>
      <w:r>
        <w:rPr>
          <w:rFonts w:ascii="Times New Roman" w:hAnsi="Times New Roman" w:eastAsia="MS Mincho"/>
          <w:b w:val="0"/>
          <w:i w:val="0"/>
          <w:sz w:val="24"/>
        </w:rPr>
        <w:t xml:space="preserve">, </w:t>
      </w:r>
      <w:r>
        <w:rPr>
          <w:rFonts w:ascii="Times New Roman" w:hAnsi="Times New Roman" w:eastAsia="MS Mincho"/>
          <w:b w:val="0"/>
          <w:i/>
          <w:sz w:val="24"/>
        </w:rPr>
        <w:t>55</w:t>
      </w:r>
      <w:r>
        <w:rPr>
          <w:rFonts w:ascii="Times New Roman" w:hAnsi="Times New Roman" w:eastAsia="MS Mincho"/>
          <w:b w:val="0"/>
          <w:i w:val="0"/>
          <w:sz w:val="24"/>
        </w:rPr>
        <w:t>(3), 661–685. https://doi.org/10.1111/j.1475-4991.2009.00343.x</w:t>
      </w:r>
    </w:p>
    <w:p>
      <w:pPr>
        <w:spacing w:after="120" w:line="360" w:lineRule="auto"/>
        <w:ind w:firstLine="480"/>
      </w:pPr>
      <w:r>
        <w:rPr>
          <w:rFonts w:ascii="Times New Roman" w:hAnsi="Times New Roman" w:eastAsia="MS Mincho"/>
          <w:b w:val="0"/>
          <w:i w:val="0"/>
          <w:sz w:val="24"/>
        </w:rPr>
        <w:t>Corrado, C., Haskel, J., Jona-Lasinio, C., &amp; Iommi, M. (2016). Intangible investment in the EU and US before and since the Great Recession and its contribution to productivity growth (EIB Working Papers 2016/08). European Investment Bank.</w:t>
      </w:r>
    </w:p>
    <w:p>
      <w:pPr>
        <w:spacing w:after="120" w:line="360" w:lineRule="auto"/>
        <w:ind w:firstLine="480"/>
      </w:pPr>
      <w:r>
        <w:rPr>
          <w:rFonts w:ascii="Times New Roman" w:hAnsi="Times New Roman" w:eastAsia="MS Mincho"/>
          <w:b w:val="0"/>
          <w:i w:val="0"/>
          <w:sz w:val="24"/>
        </w:rPr>
        <w:t xml:space="preserve">Corrado, C., Haskel, J., Iommi, M., &amp; Jona-Lasinio, C. (2020). Intangible capital, innovation and productivity à la Jorgenson: Evidence from Europe and the US. In B. M. Fraumeni (Ed.), </w:t>
      </w:r>
      <w:r>
        <w:rPr>
          <w:rFonts w:ascii="Times New Roman" w:hAnsi="Times New Roman" w:eastAsia="MS Mincho"/>
          <w:b w:val="0"/>
          <w:i/>
          <w:sz w:val="24"/>
        </w:rPr>
        <w:t>Measuring economic growth and productivity</w:t>
      </w:r>
      <w:r>
        <w:rPr>
          <w:rFonts w:ascii="Times New Roman" w:hAnsi="Times New Roman" w:eastAsia="MS Mincho"/>
          <w:b w:val="0"/>
          <w:i w:val="0"/>
          <w:sz w:val="24"/>
        </w:rPr>
        <w:t xml:space="preserve"> (pp. 363–385). Academic Press. https://doi.org/10.1016/B978-0-12-817596-5.00019-2</w:t>
      </w:r>
    </w:p>
    <w:p>
      <w:pPr>
        <w:spacing w:after="120" w:line="360" w:lineRule="auto"/>
        <w:ind w:firstLine="480"/>
      </w:pPr>
      <w:r>
        <w:rPr>
          <w:rFonts w:ascii="Times New Roman" w:hAnsi="Times New Roman" w:eastAsia="MS Mincho"/>
          <w:b w:val="0"/>
          <w:i w:val="0"/>
          <w:sz w:val="24"/>
        </w:rPr>
        <w:t xml:space="preserve">Dasgupta, P. (2021). </w:t>
      </w:r>
      <w:r>
        <w:rPr>
          <w:rFonts w:ascii="Times New Roman" w:hAnsi="Times New Roman" w:eastAsia="MS Mincho"/>
          <w:b w:val="0"/>
          <w:i/>
          <w:sz w:val="24"/>
        </w:rPr>
        <w:t>The economics of biodiversity: The Dasgupta review</w:t>
      </w:r>
      <w:r>
        <w:rPr>
          <w:rFonts w:ascii="Times New Roman" w:hAnsi="Times New Roman" w:eastAsia="MS Mincho"/>
          <w:b w:val="0"/>
          <w:i w:val="0"/>
          <w:sz w:val="24"/>
        </w:rPr>
        <w:t>. HM Treasury.</w:t>
      </w:r>
    </w:p>
    <w:p>
      <w:pPr>
        <w:spacing w:after="120" w:line="360" w:lineRule="auto"/>
        <w:ind w:firstLine="480"/>
      </w:pPr>
      <w:r>
        <w:rPr>
          <w:rFonts w:ascii="Times New Roman" w:hAnsi="Times New Roman" w:eastAsia="MS Mincho"/>
          <w:b w:val="0"/>
          <w:i w:val="0"/>
          <w:sz w:val="24"/>
        </w:rPr>
        <w:t xml:space="preserve">de Rassenfosse, G., &amp; Jaffe, A. B. (2018). Intellectual property and public-science spillovers: An overview and research directions. </w:t>
      </w:r>
      <w:r>
        <w:rPr>
          <w:rFonts w:ascii="Times New Roman" w:hAnsi="Times New Roman" w:eastAsia="MS Mincho"/>
          <w:b w:val="0"/>
          <w:i/>
          <w:sz w:val="24"/>
        </w:rPr>
        <w:t>Review of Economic Research on Copyright Issues</w:t>
      </w:r>
      <w:r>
        <w:rPr>
          <w:rFonts w:ascii="Times New Roman" w:hAnsi="Times New Roman" w:eastAsia="MS Mincho"/>
          <w:b w:val="0"/>
          <w:i w:val="0"/>
          <w:sz w:val="24"/>
        </w:rPr>
        <w:t xml:space="preserve">, </w:t>
      </w:r>
      <w:r>
        <w:rPr>
          <w:rFonts w:ascii="Times New Roman" w:hAnsi="Times New Roman" w:eastAsia="MS Mincho"/>
          <w:b w:val="0"/>
          <w:i/>
          <w:sz w:val="24"/>
        </w:rPr>
        <w:t>15</w:t>
      </w:r>
      <w:r>
        <w:rPr>
          <w:rFonts w:ascii="Times New Roman" w:hAnsi="Times New Roman" w:eastAsia="MS Mincho"/>
          <w:b w:val="0"/>
          <w:i w:val="0"/>
          <w:sz w:val="24"/>
        </w:rPr>
        <w:t>(1), 1–22.</w:t>
      </w:r>
    </w:p>
    <w:p>
      <w:pPr>
        <w:spacing w:after="120" w:line="360" w:lineRule="auto"/>
        <w:ind w:firstLine="480"/>
      </w:pPr>
      <w:r>
        <w:rPr>
          <w:rFonts w:ascii="Times New Roman" w:hAnsi="Times New Roman" w:eastAsia="MS Mincho"/>
          <w:b w:val="0"/>
          <w:i w:val="0"/>
          <w:sz w:val="24"/>
        </w:rPr>
        <w:t xml:space="preserve">Edge, R. M. (2007). Time-to-build, time-to-plan, habit-persistence, and the liquidity effect. </w:t>
      </w:r>
      <w:r>
        <w:rPr>
          <w:rFonts w:ascii="Times New Roman" w:hAnsi="Times New Roman" w:eastAsia="MS Mincho"/>
          <w:b w:val="0"/>
          <w:i/>
          <w:sz w:val="24"/>
        </w:rPr>
        <w:t>Journal of Monetary Economics</w:t>
      </w:r>
      <w:r>
        <w:rPr>
          <w:rFonts w:ascii="Times New Roman" w:hAnsi="Times New Roman" w:eastAsia="MS Mincho"/>
          <w:b w:val="0"/>
          <w:i w:val="0"/>
          <w:sz w:val="24"/>
        </w:rPr>
        <w:t xml:space="preserve">, </w:t>
      </w:r>
      <w:r>
        <w:rPr>
          <w:rFonts w:ascii="Times New Roman" w:hAnsi="Times New Roman" w:eastAsia="MS Mincho"/>
          <w:b w:val="0"/>
          <w:i/>
          <w:sz w:val="24"/>
        </w:rPr>
        <w:t>54</w:t>
      </w:r>
      <w:r>
        <w:rPr>
          <w:rFonts w:ascii="Times New Roman" w:hAnsi="Times New Roman" w:eastAsia="MS Mincho"/>
          <w:b w:val="0"/>
          <w:i w:val="0"/>
          <w:sz w:val="24"/>
        </w:rPr>
        <w:t>(6), 1644–1669. https://doi.org/10.1016/j.jmoneco.2006.07.005</w:t>
      </w:r>
    </w:p>
    <w:p>
      <w:pPr>
        <w:spacing w:after="120" w:line="360" w:lineRule="auto"/>
        <w:ind w:firstLine="480"/>
      </w:pPr>
      <w:r>
        <w:rPr>
          <w:rFonts w:ascii="Times New Roman" w:hAnsi="Times New Roman" w:eastAsia="MS Mincho"/>
          <w:b w:val="0"/>
          <w:i w:val="0"/>
          <w:sz w:val="24"/>
        </w:rPr>
        <w:t xml:space="preserve">Feenstra, R. C., Inklaar, R., &amp; Timmer, M. P. (2015). The next generation of the Penn World Table.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105</w:t>
      </w:r>
      <w:r>
        <w:rPr>
          <w:rFonts w:ascii="Times New Roman" w:hAnsi="Times New Roman" w:eastAsia="MS Mincho"/>
          <w:b w:val="0"/>
          <w:i w:val="0"/>
          <w:sz w:val="24"/>
        </w:rPr>
        <w:t>(10), 3150–3182. https://doi.org/10.1257/aer.20130954</w:t>
      </w:r>
    </w:p>
    <w:p>
      <w:pPr>
        <w:spacing w:after="120" w:line="360" w:lineRule="auto"/>
        <w:ind w:firstLine="480"/>
      </w:pPr>
      <w:r>
        <w:rPr>
          <w:rFonts w:ascii="Times New Roman" w:hAnsi="Times New Roman" w:eastAsia="MS Mincho"/>
          <w:b w:val="0"/>
          <w:i w:val="0"/>
          <w:sz w:val="24"/>
        </w:rPr>
        <w:t xml:space="preserve">Goldstein, J. R., Lutz, W., &amp; Scherbov, S. (2003). Long-term population decline in Europe: The relative importance of tempo effects and generational length.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29</w:t>
      </w:r>
      <w:r>
        <w:rPr>
          <w:rFonts w:ascii="Times New Roman" w:hAnsi="Times New Roman" w:eastAsia="MS Mincho"/>
          <w:b w:val="0"/>
          <w:i w:val="0"/>
          <w:sz w:val="24"/>
        </w:rPr>
        <w:t>(4), 699–707. https://doi.org/10.1111/j.1728-4457.2003.00699.x</w:t>
      </w:r>
    </w:p>
    <w:p>
      <w:pPr>
        <w:spacing w:after="120" w:line="360" w:lineRule="auto"/>
        <w:ind w:firstLine="480"/>
      </w:pPr>
      <w:r>
        <w:rPr>
          <w:rFonts w:ascii="Times New Roman" w:hAnsi="Times New Roman" w:eastAsia="MS Mincho"/>
          <w:b w:val="0"/>
          <w:i w:val="0"/>
          <w:sz w:val="24"/>
        </w:rPr>
        <w:t xml:space="preserve">Griliches, Z. (1996). The discovery of the residual: A historical note.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w:t>
      </w:r>
      <w:r>
        <w:rPr>
          <w:rFonts w:ascii="Times New Roman" w:hAnsi="Times New Roman" w:eastAsia="MS Mincho"/>
          <w:b w:val="0"/>
          <w:i/>
          <w:sz w:val="24"/>
        </w:rPr>
        <w:t>34</w:t>
      </w:r>
      <w:r>
        <w:rPr>
          <w:rFonts w:ascii="Times New Roman" w:hAnsi="Times New Roman" w:eastAsia="MS Mincho"/>
          <w:b w:val="0"/>
          <w:i w:val="0"/>
          <w:sz w:val="24"/>
        </w:rPr>
        <w:t>(3), 1324–1330.</w:t>
      </w:r>
    </w:p>
    <w:p>
      <w:pPr>
        <w:spacing w:after="120" w:line="360" w:lineRule="auto"/>
        <w:ind w:firstLine="480"/>
      </w:pPr>
      <w:r>
        <w:rPr>
          <w:rFonts w:ascii="Times New Roman" w:hAnsi="Times New Roman" w:eastAsia="MS Mincho"/>
          <w:b w:val="0"/>
          <w:i w:val="0"/>
          <w:sz w:val="24"/>
        </w:rPr>
        <w:t xml:space="preserve">Hamano, M., &amp; Zhao, Y. (2017). Fiscal sustainability and land prices in Japan. </w:t>
      </w:r>
      <w:r>
        <w:rPr>
          <w:rFonts w:ascii="Times New Roman" w:hAnsi="Times New Roman" w:eastAsia="MS Mincho"/>
          <w:b w:val="0"/>
          <w:i/>
          <w:sz w:val="24"/>
        </w:rPr>
        <w:t>Journal of the Japanese and International Economies</w:t>
      </w:r>
      <w:r>
        <w:rPr>
          <w:rFonts w:ascii="Times New Roman" w:hAnsi="Times New Roman" w:eastAsia="MS Mincho"/>
          <w:b w:val="0"/>
          <w:i w:val="0"/>
          <w:sz w:val="24"/>
        </w:rPr>
        <w:t xml:space="preserve">, </w:t>
      </w:r>
      <w:r>
        <w:rPr>
          <w:rFonts w:ascii="Times New Roman" w:hAnsi="Times New Roman" w:eastAsia="MS Mincho"/>
          <w:b w:val="0"/>
          <w:i/>
          <w:sz w:val="24"/>
        </w:rPr>
        <w:t>46</w:t>
      </w:r>
      <w:r>
        <w:rPr>
          <w:rFonts w:ascii="Times New Roman" w:hAnsi="Times New Roman" w:eastAsia="MS Mincho"/>
          <w:b w:val="0"/>
          <w:i w:val="0"/>
          <w:sz w:val="24"/>
        </w:rPr>
        <w:t>, 17–29. https://doi.org/10.1016/j.jjie.2017.09.001</w:t>
      </w:r>
    </w:p>
    <w:p>
      <w:pPr>
        <w:spacing w:after="120" w:line="360" w:lineRule="auto"/>
        <w:ind w:firstLine="480"/>
      </w:pPr>
      <w:r>
        <w:rPr>
          <w:rFonts w:ascii="Times New Roman" w:hAnsi="Times New Roman" w:eastAsia="MS Mincho"/>
          <w:b w:val="0"/>
          <w:i w:val="0"/>
          <w:sz w:val="24"/>
        </w:rPr>
        <w:t xml:space="preserve">Haskel, J., &amp; Westlake, S. (2017). </w:t>
      </w:r>
      <w:r>
        <w:rPr>
          <w:rFonts w:ascii="Times New Roman" w:hAnsi="Times New Roman" w:eastAsia="MS Mincho"/>
          <w:b w:val="0"/>
          <w:i/>
          <w:sz w:val="24"/>
        </w:rPr>
        <w:t>Capitalism without capital: The rise of the intangible economy</w:t>
      </w:r>
      <w:r>
        <w:rPr>
          <w:rFonts w:ascii="Times New Roman" w:hAnsi="Times New Roman" w:eastAsia="MS Mincho"/>
          <w:b w:val="0"/>
          <w:i w:val="0"/>
          <w:sz w:val="24"/>
        </w:rPr>
        <w:t>. Princeton University Press.</w:t>
      </w:r>
    </w:p>
    <w:p>
      <w:pPr>
        <w:spacing w:after="120" w:line="360" w:lineRule="auto"/>
        <w:ind w:firstLine="480"/>
      </w:pPr>
      <w:r>
        <w:rPr>
          <w:rFonts w:ascii="Times New Roman" w:hAnsi="Times New Roman" w:eastAsia="MS Mincho"/>
          <w:b w:val="0"/>
          <w:i w:val="0"/>
          <w:sz w:val="24"/>
        </w:rPr>
        <w:t xml:space="preserve">Haskel, J., &amp; Westlake, S. (2022). </w:t>
      </w:r>
      <w:r>
        <w:rPr>
          <w:rFonts w:ascii="Times New Roman" w:hAnsi="Times New Roman" w:eastAsia="MS Mincho"/>
          <w:b w:val="0"/>
          <w:i/>
          <w:sz w:val="24"/>
        </w:rPr>
        <w:t>Restarting the future: How to fix the intangible economy</w:t>
      </w:r>
      <w:r>
        <w:rPr>
          <w:rFonts w:ascii="Times New Roman" w:hAnsi="Times New Roman" w:eastAsia="MS Mincho"/>
          <w:b w:val="0"/>
          <w:i w:val="0"/>
          <w:sz w:val="24"/>
        </w:rPr>
        <w:t>. Princeton University Press.</w:t>
      </w:r>
    </w:p>
    <w:p>
      <w:pPr>
        <w:spacing w:after="120" w:line="360" w:lineRule="auto"/>
        <w:ind w:firstLine="480"/>
      </w:pPr>
      <w:r>
        <w:rPr>
          <w:rFonts w:ascii="Times New Roman" w:hAnsi="Times New Roman" w:eastAsia="MS Mincho"/>
          <w:b w:val="0"/>
          <w:i w:val="0"/>
          <w:sz w:val="24"/>
        </w:rPr>
        <w:t xml:space="preserve">Hulten, C. R. (1992). Growth accounting when technical change is embodied in capital.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82</w:t>
      </w:r>
      <w:r>
        <w:rPr>
          <w:rFonts w:ascii="Times New Roman" w:hAnsi="Times New Roman" w:eastAsia="MS Mincho"/>
          <w:b w:val="0"/>
          <w:i w:val="0"/>
          <w:sz w:val="24"/>
        </w:rPr>
        <w:t>(4), 964–980.</w:t>
      </w:r>
    </w:p>
    <w:p>
      <w:pPr>
        <w:spacing w:after="120" w:line="360" w:lineRule="auto"/>
        <w:ind w:firstLine="480"/>
      </w:pPr>
      <w:r>
        <w:rPr>
          <w:rFonts w:ascii="Times New Roman" w:hAnsi="Times New Roman" w:eastAsia="MS Mincho"/>
          <w:b w:val="0"/>
          <w:i w:val="0"/>
          <w:sz w:val="24"/>
        </w:rPr>
        <w:t>Inklaar, R., &amp; Timmer, M. P. (2013). Capital, labor and TFP in PWT 8.0 (Research Memorandum GD-144). Groningen Growth and Development Centre.</w:t>
      </w:r>
    </w:p>
    <w:p>
      <w:pPr>
        <w:spacing w:after="120" w:line="360" w:lineRule="auto"/>
        <w:ind w:firstLine="480"/>
      </w:pPr>
      <w:r>
        <w:rPr>
          <w:rFonts w:ascii="Times New Roman" w:hAnsi="Times New Roman" w:eastAsia="MS Mincho"/>
          <w:b w:val="0"/>
          <w:i w:val="0"/>
          <w:sz w:val="24"/>
        </w:rPr>
        <w:t xml:space="preserve">Jorgenson, D. W., &amp; Griliches, Z. (1967). The explanation of productivity change. </w:t>
      </w:r>
      <w:r>
        <w:rPr>
          <w:rFonts w:ascii="Times New Roman" w:hAnsi="Times New Roman" w:eastAsia="MS Mincho"/>
          <w:b w:val="0"/>
          <w:i/>
          <w:sz w:val="24"/>
        </w:rPr>
        <w:t>Review of Economic Studies</w:t>
      </w:r>
      <w:r>
        <w:rPr>
          <w:rFonts w:ascii="Times New Roman" w:hAnsi="Times New Roman" w:eastAsia="MS Mincho"/>
          <w:b w:val="0"/>
          <w:i w:val="0"/>
          <w:sz w:val="24"/>
        </w:rPr>
        <w:t xml:space="preserve">, </w:t>
      </w:r>
      <w:r>
        <w:rPr>
          <w:rFonts w:ascii="Times New Roman" w:hAnsi="Times New Roman" w:eastAsia="MS Mincho"/>
          <w:b w:val="0"/>
          <w:i/>
          <w:sz w:val="24"/>
        </w:rPr>
        <w:t>34</w:t>
      </w:r>
      <w:r>
        <w:rPr>
          <w:rFonts w:ascii="Times New Roman" w:hAnsi="Times New Roman" w:eastAsia="MS Mincho"/>
          <w:b w:val="0"/>
          <w:i w:val="0"/>
          <w:sz w:val="24"/>
        </w:rPr>
        <w:t>(3), 249–283. https://doi.org/10.2307/2296675</w:t>
      </w:r>
    </w:p>
    <w:p>
      <w:pPr>
        <w:spacing w:after="120" w:line="360" w:lineRule="auto"/>
        <w:ind w:firstLine="480"/>
      </w:pPr>
      <w:r>
        <w:rPr>
          <w:rFonts w:ascii="Times New Roman" w:hAnsi="Times New Roman" w:eastAsia="MS Mincho"/>
          <w:b w:val="0"/>
          <w:i w:val="0"/>
          <w:sz w:val="24"/>
        </w:rPr>
        <w:t xml:space="preserve">Jorgenson, D. W. (2018). Production and welfare: Progress in economic measurement.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w:t>
      </w:r>
      <w:r>
        <w:rPr>
          <w:rFonts w:ascii="Times New Roman" w:hAnsi="Times New Roman" w:eastAsia="MS Mincho"/>
          <w:b w:val="0"/>
          <w:i/>
          <w:sz w:val="24"/>
        </w:rPr>
        <w:t>56</w:t>
      </w:r>
      <w:r>
        <w:rPr>
          <w:rFonts w:ascii="Times New Roman" w:hAnsi="Times New Roman" w:eastAsia="MS Mincho"/>
          <w:b w:val="0"/>
          <w:i w:val="0"/>
          <w:sz w:val="24"/>
        </w:rPr>
        <w:t>(3), 867–919. https://doi.org/10.1257/jel.20171358</w:t>
      </w:r>
    </w:p>
    <w:p>
      <w:pPr>
        <w:spacing w:after="120" w:line="360" w:lineRule="auto"/>
        <w:ind w:firstLine="480"/>
      </w:pPr>
      <w:r>
        <w:rPr>
          <w:rFonts w:ascii="Times New Roman" w:hAnsi="Times New Roman" w:eastAsia="MS Mincho"/>
          <w:b w:val="0"/>
          <w:i w:val="0"/>
          <w:sz w:val="24"/>
        </w:rPr>
        <w:t xml:space="preserve">Jorgenson, D. W., Ho, M. S., &amp; Stiroh, K. J. (2018). </w:t>
      </w:r>
      <w:r>
        <w:rPr>
          <w:rFonts w:ascii="Times New Roman" w:hAnsi="Times New Roman" w:eastAsia="MS Mincho"/>
          <w:b w:val="0"/>
          <w:i/>
          <w:sz w:val="24"/>
        </w:rPr>
        <w:t>Productivity, Vol. 3: Information technology and the American growth resurgence</w:t>
      </w:r>
      <w:r>
        <w:rPr>
          <w:rFonts w:ascii="Times New Roman" w:hAnsi="Times New Roman" w:eastAsia="MS Mincho"/>
          <w:b w:val="0"/>
          <w:i w:val="0"/>
          <w:sz w:val="24"/>
        </w:rPr>
        <w:t>. MIT Press.</w:t>
      </w:r>
    </w:p>
    <w:p>
      <w:pPr>
        <w:spacing w:after="120" w:line="360" w:lineRule="auto"/>
        <w:ind w:firstLine="480"/>
      </w:pPr>
      <w:r>
        <w:rPr>
          <w:rFonts w:ascii="Times New Roman" w:hAnsi="Times New Roman" w:eastAsia="MS Mincho"/>
          <w:b w:val="0"/>
          <w:i w:val="0"/>
          <w:sz w:val="24"/>
        </w:rPr>
        <w:t xml:space="preserve">Kaboski, J. P. (2005). Factor price uncertainty, technology choice and investment delay. </w:t>
      </w:r>
      <w:r>
        <w:rPr>
          <w:rFonts w:ascii="Times New Roman" w:hAnsi="Times New Roman" w:eastAsia="MS Mincho"/>
          <w:b w:val="0"/>
          <w:i/>
          <w:sz w:val="24"/>
        </w:rPr>
        <w:t>Journal of Economic Dynamics and Control</w:t>
      </w:r>
      <w:r>
        <w:rPr>
          <w:rFonts w:ascii="Times New Roman" w:hAnsi="Times New Roman" w:eastAsia="MS Mincho"/>
          <w:b w:val="0"/>
          <w:i w:val="0"/>
          <w:sz w:val="24"/>
        </w:rPr>
        <w:t xml:space="preserve">, </w:t>
      </w:r>
      <w:r>
        <w:rPr>
          <w:rFonts w:ascii="Times New Roman" w:hAnsi="Times New Roman" w:eastAsia="MS Mincho"/>
          <w:b w:val="0"/>
          <w:i/>
          <w:sz w:val="24"/>
        </w:rPr>
        <w:t>29</w:t>
      </w:r>
      <w:r>
        <w:rPr>
          <w:rFonts w:ascii="Times New Roman" w:hAnsi="Times New Roman" w:eastAsia="MS Mincho"/>
          <w:b w:val="0"/>
          <w:i w:val="0"/>
          <w:sz w:val="24"/>
        </w:rPr>
        <w:t>(3), 509–527. https://doi.org/10.1016/j.jedc.2004.02.004</w:t>
      </w:r>
    </w:p>
    <w:p>
      <w:pPr>
        <w:spacing w:after="120" w:line="360" w:lineRule="auto"/>
        <w:ind w:firstLine="480"/>
      </w:pPr>
      <w:r>
        <w:rPr>
          <w:rFonts w:ascii="Times New Roman" w:hAnsi="Times New Roman" w:eastAsia="MS Mincho"/>
          <w:b w:val="0"/>
          <w:i w:val="0"/>
          <w:sz w:val="24"/>
        </w:rPr>
        <w:t>Koeva, P. (2000). The facts about time-to-build (IMF Working Paper 00/138). International Monetary Fund.</w:t>
      </w:r>
    </w:p>
    <w:p>
      <w:pPr>
        <w:spacing w:after="120" w:line="360" w:lineRule="auto"/>
        <w:ind w:firstLine="480"/>
      </w:pPr>
      <w:r>
        <w:rPr>
          <w:rFonts w:ascii="Times New Roman" w:hAnsi="Times New Roman" w:eastAsia="MS Mincho"/>
          <w:b w:val="0"/>
          <w:i w:val="0"/>
          <w:sz w:val="24"/>
        </w:rPr>
        <w:t xml:space="preserve">Kohler, H.-P., Billari, F. C., &amp; Ortega, J. A. (2002). The emergence of lowest-low fertility in Europe during the 1990s.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28</w:t>
      </w:r>
      <w:r>
        <w:rPr>
          <w:rFonts w:ascii="Times New Roman" w:hAnsi="Times New Roman" w:eastAsia="MS Mincho"/>
          <w:b w:val="0"/>
          <w:i w:val="0"/>
          <w:sz w:val="24"/>
        </w:rPr>
        <w:t>(4), 641–680. https://doi.org/10.1111/j.1728-4457.2002.00641.x</w:t>
      </w:r>
    </w:p>
    <w:p>
      <w:pPr>
        <w:spacing w:after="120" w:line="360" w:lineRule="auto"/>
        <w:ind w:firstLine="480"/>
      </w:pPr>
      <w:r>
        <w:rPr>
          <w:rFonts w:ascii="Times New Roman" w:hAnsi="Times New Roman" w:eastAsia="MS Mincho"/>
          <w:b w:val="0"/>
          <w:i w:val="0"/>
          <w:sz w:val="24"/>
        </w:rPr>
        <w:t xml:space="preserve">Kydland, F. E., &amp; Prescott, E. C. (1982). Time to build and aggregate fluctuations. </w:t>
      </w:r>
      <w:r>
        <w:rPr>
          <w:rFonts w:ascii="Times New Roman" w:hAnsi="Times New Roman" w:eastAsia="MS Mincho"/>
          <w:b w:val="0"/>
          <w:i/>
          <w:sz w:val="24"/>
        </w:rPr>
        <w:t>Econometrica</w:t>
      </w:r>
      <w:r>
        <w:rPr>
          <w:rFonts w:ascii="Times New Roman" w:hAnsi="Times New Roman" w:eastAsia="MS Mincho"/>
          <w:b w:val="0"/>
          <w:i w:val="0"/>
          <w:sz w:val="24"/>
        </w:rPr>
        <w:t xml:space="preserve">, </w:t>
      </w:r>
      <w:r>
        <w:rPr>
          <w:rFonts w:ascii="Times New Roman" w:hAnsi="Times New Roman" w:eastAsia="MS Mincho"/>
          <w:b w:val="0"/>
          <w:i/>
          <w:sz w:val="24"/>
        </w:rPr>
        <w:t>50</w:t>
      </w:r>
      <w:r>
        <w:rPr>
          <w:rFonts w:ascii="Times New Roman" w:hAnsi="Times New Roman" w:eastAsia="MS Mincho"/>
          <w:b w:val="0"/>
          <w:i w:val="0"/>
          <w:sz w:val="24"/>
        </w:rPr>
        <w:t>(6), 1345–1370. https://doi.org/10.2307/1913386</w:t>
      </w:r>
    </w:p>
    <w:p>
      <w:pPr>
        <w:spacing w:after="120" w:line="360" w:lineRule="auto"/>
        <w:ind w:firstLine="480"/>
      </w:pPr>
      <w:r>
        <w:rPr>
          <w:rFonts w:ascii="Times New Roman" w:hAnsi="Times New Roman" w:eastAsia="MS Mincho"/>
          <w:b w:val="0"/>
          <w:i w:val="0"/>
          <w:sz w:val="24"/>
        </w:rPr>
        <w:t xml:space="preserve">Lange, G.-M., Wodon, Q., &amp; Carey, K. (Eds.). (2018). </w:t>
      </w:r>
      <w:r>
        <w:rPr>
          <w:rFonts w:ascii="Times New Roman" w:hAnsi="Times New Roman" w:eastAsia="MS Mincho"/>
          <w:b w:val="0"/>
          <w:i/>
          <w:sz w:val="24"/>
        </w:rPr>
        <w:t>The changing wealth of nations 2018: Building a sustainable future</w:t>
      </w:r>
      <w:r>
        <w:rPr>
          <w:rFonts w:ascii="Times New Roman" w:hAnsi="Times New Roman" w:eastAsia="MS Mincho"/>
          <w:b w:val="0"/>
          <w:i w:val="0"/>
          <w:sz w:val="24"/>
        </w:rPr>
        <w:t>. World Bank. https://doi.org/10.1596/978-1-4648-1046-6</w:t>
      </w:r>
    </w:p>
    <w:p>
      <w:pPr>
        <w:spacing w:after="120" w:line="360" w:lineRule="auto"/>
        <w:ind w:firstLine="480"/>
      </w:pPr>
      <w:r>
        <w:rPr>
          <w:rFonts w:ascii="Times New Roman" w:hAnsi="Times New Roman" w:eastAsia="MS Mincho"/>
          <w:b w:val="0"/>
          <w:i w:val="0"/>
          <w:sz w:val="24"/>
        </w:rPr>
        <w:t xml:space="preserve">Managi, S., &amp; Kumar, P. (Eds.). (2018). </w:t>
      </w:r>
      <w:r>
        <w:rPr>
          <w:rFonts w:ascii="Times New Roman" w:hAnsi="Times New Roman" w:eastAsia="MS Mincho"/>
          <w:b w:val="0"/>
          <w:i/>
          <w:sz w:val="24"/>
        </w:rPr>
        <w:t>Inclusive wealth report 2018</w:t>
      </w:r>
      <w:r>
        <w:rPr>
          <w:rFonts w:ascii="Times New Roman" w:hAnsi="Times New Roman" w:eastAsia="MS Mincho"/>
          <w:b w:val="0"/>
          <w:i w:val="0"/>
          <w:sz w:val="24"/>
        </w:rPr>
        <w:t>. Routledge.</w:t>
      </w:r>
    </w:p>
    <w:p>
      <w:pPr>
        <w:spacing w:after="120" w:line="360" w:lineRule="auto"/>
        <w:ind w:firstLine="480"/>
      </w:pPr>
      <w:r>
        <w:rPr>
          <w:rFonts w:ascii="Times New Roman" w:hAnsi="Times New Roman" w:eastAsia="MS Mincho"/>
          <w:b w:val="0"/>
          <w:i w:val="0"/>
          <w:sz w:val="24"/>
        </w:rPr>
        <w:t xml:space="preserve">Mayer, T. (1960). Plant and equipment lead times. </w:t>
      </w:r>
      <w:r>
        <w:rPr>
          <w:rFonts w:ascii="Times New Roman" w:hAnsi="Times New Roman" w:eastAsia="MS Mincho"/>
          <w:b w:val="0"/>
          <w:i/>
          <w:sz w:val="24"/>
        </w:rPr>
        <w:t>Journal of Business</w:t>
      </w:r>
      <w:r>
        <w:rPr>
          <w:rFonts w:ascii="Times New Roman" w:hAnsi="Times New Roman" w:eastAsia="MS Mincho"/>
          <w:b w:val="0"/>
          <w:i w:val="0"/>
          <w:sz w:val="24"/>
        </w:rPr>
        <w:t xml:space="preserve">, </w:t>
      </w:r>
      <w:r>
        <w:rPr>
          <w:rFonts w:ascii="Times New Roman" w:hAnsi="Times New Roman" w:eastAsia="MS Mincho"/>
          <w:b w:val="0"/>
          <w:i/>
          <w:sz w:val="24"/>
        </w:rPr>
        <w:t>33</w:t>
      </w:r>
      <w:r>
        <w:rPr>
          <w:rFonts w:ascii="Times New Roman" w:hAnsi="Times New Roman" w:eastAsia="MS Mincho"/>
          <w:b w:val="0"/>
          <w:i w:val="0"/>
          <w:sz w:val="24"/>
        </w:rPr>
        <w:t>(2), 127–132.</w:t>
      </w:r>
    </w:p>
    <w:p>
      <w:pPr>
        <w:spacing w:after="120" w:line="360" w:lineRule="auto"/>
        <w:ind w:firstLine="480"/>
      </w:pPr>
      <w:r>
        <w:rPr>
          <w:rFonts w:ascii="Times New Roman" w:hAnsi="Times New Roman" w:eastAsia="MS Mincho"/>
          <w:b w:val="0"/>
          <w:i w:val="0"/>
          <w:sz w:val="24"/>
        </w:rPr>
        <w:t>Nishimura, K. G., &amp; Saita, Y. (2005). Land prices in Japan: Historical and international comparisons (Bank of Japan Review 2005-E-5). Bank of Japan.</w:t>
      </w:r>
    </w:p>
    <w:p>
      <w:pPr>
        <w:spacing w:after="120" w:line="360" w:lineRule="auto"/>
        <w:ind w:firstLine="480"/>
      </w:pPr>
      <w:r>
        <w:rPr>
          <w:rFonts w:ascii="Times New Roman" w:hAnsi="Times New Roman" w:eastAsia="MS Mincho"/>
          <w:b w:val="0"/>
          <w:i w:val="0"/>
          <w:sz w:val="24"/>
        </w:rPr>
        <w:t xml:space="preserve">OECD. (2013). </w:t>
      </w:r>
      <w:r>
        <w:rPr>
          <w:rFonts w:ascii="Times New Roman" w:hAnsi="Times New Roman" w:eastAsia="MS Mincho"/>
          <w:b w:val="0"/>
          <w:i/>
          <w:sz w:val="24"/>
        </w:rPr>
        <w:t>Supporting investment in knowledge capital, growth and innovation</w:t>
      </w:r>
      <w:r>
        <w:rPr>
          <w:rFonts w:ascii="Times New Roman" w:hAnsi="Times New Roman" w:eastAsia="MS Mincho"/>
          <w:b w:val="0"/>
          <w:i w:val="0"/>
          <w:sz w:val="24"/>
        </w:rPr>
        <w:t>. OECD Publishing. https://doi.org/10.1787/9789264193307-en</w:t>
      </w:r>
    </w:p>
    <w:p>
      <w:pPr>
        <w:spacing w:after="120" w:line="360" w:lineRule="auto"/>
        <w:ind w:firstLine="480"/>
      </w:pPr>
      <w:r>
        <w:rPr>
          <w:rFonts w:ascii="Times New Roman" w:hAnsi="Times New Roman" w:eastAsia="MS Mincho"/>
          <w:b w:val="0"/>
          <w:i w:val="0"/>
          <w:sz w:val="24"/>
        </w:rPr>
        <w:t xml:space="preserve">Roth, F. (2023). Intangible capital and productivity growth in the EU: A panel data perspective. </w:t>
      </w:r>
      <w:r>
        <w:rPr>
          <w:rFonts w:ascii="Times New Roman" w:hAnsi="Times New Roman" w:eastAsia="MS Mincho"/>
          <w:b w:val="0"/>
          <w:i/>
          <w:sz w:val="24"/>
        </w:rPr>
        <w:t>Hamburg Discussion Papers in International Economics</w:t>
      </w:r>
      <w:r>
        <w:rPr>
          <w:rFonts w:ascii="Times New Roman" w:hAnsi="Times New Roman" w:eastAsia="MS Mincho"/>
          <w:b w:val="0"/>
          <w:i w:val="0"/>
          <w:sz w:val="24"/>
        </w:rPr>
        <w:t xml:space="preserve">, </w:t>
      </w:r>
      <w:r>
        <w:rPr>
          <w:rFonts w:ascii="Times New Roman" w:hAnsi="Times New Roman" w:eastAsia="MS Mincho"/>
          <w:b w:val="0"/>
          <w:i/>
          <w:sz w:val="24"/>
        </w:rPr>
        <w:t>13</w:t>
      </w:r>
      <w:r>
        <w:rPr>
          <w:rFonts w:ascii="Times New Roman" w:hAnsi="Times New Roman" w:eastAsia="MS Mincho"/>
          <w:b w:val="0"/>
          <w:i w:val="0"/>
          <w:sz w:val="24"/>
        </w:rPr>
        <w:t>.</w:t>
      </w:r>
    </w:p>
    <w:p>
      <w:pPr>
        <w:spacing w:after="120" w:line="360" w:lineRule="auto"/>
        <w:ind w:firstLine="480"/>
      </w:pPr>
      <w:r>
        <w:rPr>
          <w:rFonts w:ascii="Times New Roman" w:hAnsi="Times New Roman" w:eastAsia="MS Mincho"/>
          <w:b w:val="0"/>
          <w:i w:val="0"/>
          <w:sz w:val="24"/>
        </w:rPr>
        <w:t xml:space="preserve">Salomon, J. A., Wang, H., Freeman, M. K., Vos, T., Flaxman, A. D., Lopez, A. D., &amp; Murray, C. J. L. (2012). Healthy life expectancy for 187 countries, 1990–2010: A systematic analysis for the Global Burden Disease Study 2010. </w:t>
      </w:r>
      <w:r>
        <w:rPr>
          <w:rFonts w:ascii="Times New Roman" w:hAnsi="Times New Roman" w:eastAsia="MS Mincho"/>
          <w:b w:val="0"/>
          <w:i/>
          <w:sz w:val="24"/>
        </w:rPr>
        <w:t>The Lancet</w:t>
      </w:r>
      <w:r>
        <w:rPr>
          <w:rFonts w:ascii="Times New Roman" w:hAnsi="Times New Roman" w:eastAsia="MS Mincho"/>
          <w:b w:val="0"/>
          <w:i w:val="0"/>
          <w:sz w:val="24"/>
        </w:rPr>
        <w:t xml:space="preserve">, </w:t>
      </w:r>
      <w:r>
        <w:rPr>
          <w:rFonts w:ascii="Times New Roman" w:hAnsi="Times New Roman" w:eastAsia="MS Mincho"/>
          <w:b w:val="0"/>
          <w:i/>
          <w:sz w:val="24"/>
        </w:rPr>
        <w:t>380</w:t>
      </w:r>
      <w:r>
        <w:rPr>
          <w:rFonts w:ascii="Times New Roman" w:hAnsi="Times New Roman" w:eastAsia="MS Mincho"/>
          <w:b w:val="0"/>
          <w:i w:val="0"/>
          <w:sz w:val="24"/>
        </w:rPr>
        <w:t>(9859), 2144–2162. https://doi.org/10.1016/S0140-6736(12)61690-0</w:t>
      </w:r>
    </w:p>
    <w:p>
      <w:pPr>
        <w:spacing w:after="120" w:line="360" w:lineRule="auto"/>
        <w:ind w:firstLine="480"/>
      </w:pPr>
      <w:r>
        <w:rPr>
          <w:rFonts w:ascii="Times New Roman" w:hAnsi="Times New Roman" w:eastAsia="MS Mincho"/>
          <w:b w:val="0"/>
          <w:i w:val="0"/>
          <w:sz w:val="24"/>
        </w:rPr>
        <w:t xml:space="preserve">Smets, F., &amp; Wouters, R. (2007). Shocks and frictions in US business cycles: A Bayesian DSGE approach.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97</w:t>
      </w:r>
      <w:r>
        <w:rPr>
          <w:rFonts w:ascii="Times New Roman" w:hAnsi="Times New Roman" w:eastAsia="MS Mincho"/>
          <w:b w:val="0"/>
          <w:i w:val="0"/>
          <w:sz w:val="24"/>
        </w:rPr>
        <w:t>(3), 586–606. https://doi.org/10.1257/aer.97.3.586</w:t>
      </w:r>
    </w:p>
    <w:p>
      <w:pPr>
        <w:spacing w:after="120" w:line="360" w:lineRule="auto"/>
        <w:ind w:firstLine="480"/>
      </w:pPr>
      <w:r>
        <w:rPr>
          <w:rFonts w:ascii="Times New Roman" w:hAnsi="Times New Roman" w:eastAsia="MS Mincho"/>
          <w:b w:val="0"/>
          <w:i w:val="0"/>
          <w:sz w:val="24"/>
        </w:rPr>
        <w:t xml:space="preserve">Solow, R. M. (1957). Technical change and the aggregate production function. </w:t>
      </w:r>
      <w:r>
        <w:rPr>
          <w:rFonts w:ascii="Times New Roman" w:hAnsi="Times New Roman" w:eastAsia="MS Mincho"/>
          <w:b w:val="0"/>
          <w:i/>
          <w:sz w:val="24"/>
        </w:rPr>
        <w:t>Review of Economics and Statistics</w:t>
      </w:r>
      <w:r>
        <w:rPr>
          <w:rFonts w:ascii="Times New Roman" w:hAnsi="Times New Roman" w:eastAsia="MS Mincho"/>
          <w:b w:val="0"/>
          <w:i w:val="0"/>
          <w:sz w:val="24"/>
        </w:rPr>
        <w:t xml:space="preserve">, </w:t>
      </w:r>
      <w:r>
        <w:rPr>
          <w:rFonts w:ascii="Times New Roman" w:hAnsi="Times New Roman" w:eastAsia="MS Mincho"/>
          <w:b w:val="0"/>
          <w:i/>
          <w:sz w:val="24"/>
        </w:rPr>
        <w:t>39</w:t>
      </w:r>
      <w:r>
        <w:rPr>
          <w:rFonts w:ascii="Times New Roman" w:hAnsi="Times New Roman" w:eastAsia="MS Mincho"/>
          <w:b w:val="0"/>
          <w:i w:val="0"/>
          <w:sz w:val="24"/>
        </w:rPr>
        <w:t>(3), 312–320. https://doi.org/10.2307/1926047</w:t>
      </w:r>
    </w:p>
    <w:p>
      <w:pPr>
        <w:spacing w:after="120" w:line="360" w:lineRule="auto"/>
        <w:ind w:firstLine="480"/>
      </w:pPr>
      <w:r>
        <w:rPr>
          <w:rFonts w:ascii="Times New Roman" w:hAnsi="Times New Roman" w:eastAsia="MS Mincho"/>
          <w:b w:val="0"/>
          <w:i w:val="0"/>
          <w:sz w:val="24"/>
        </w:rPr>
        <w:t xml:space="preserve">Stiglitz, J. E., Sen, A., &amp; Fitoussi, J.-P. (2009). </w:t>
      </w:r>
      <w:r>
        <w:rPr>
          <w:rFonts w:ascii="Times New Roman" w:hAnsi="Times New Roman" w:eastAsia="MS Mincho"/>
          <w:b w:val="0"/>
          <w:i/>
          <w:sz w:val="24"/>
        </w:rPr>
        <w:t>Report by the Commission on the Measurement of Economic Performance and Social Progress</w:t>
      </w:r>
      <w:r>
        <w:rPr>
          <w:rFonts w:ascii="Times New Roman" w:hAnsi="Times New Roman" w:eastAsia="MS Mincho"/>
          <w:b w:val="0"/>
          <w:i w:val="0"/>
          <w:sz w:val="24"/>
        </w:rPr>
        <w:t>. Commission on the Measurement of Economic Performance and Social Progress.</w:t>
      </w:r>
    </w:p>
    <w:p>
      <w:pPr>
        <w:spacing w:after="120" w:line="360" w:lineRule="auto"/>
        <w:ind w:firstLine="480"/>
      </w:pPr>
      <w:r>
        <w:rPr>
          <w:rFonts w:ascii="Times New Roman" w:hAnsi="Times New Roman" w:eastAsia="MS Mincho"/>
          <w:b w:val="0"/>
          <w:i w:val="0"/>
          <w:sz w:val="24"/>
        </w:rPr>
        <w:t xml:space="preserve">UNECE. (2014). </w:t>
      </w:r>
      <w:r>
        <w:rPr>
          <w:rFonts w:ascii="Times New Roman" w:hAnsi="Times New Roman" w:eastAsia="MS Mincho"/>
          <w:b w:val="0"/>
          <w:i/>
          <w:sz w:val="24"/>
        </w:rPr>
        <w:t>Framework and suggested indicators to measure sustainable development</w:t>
      </w:r>
      <w:r>
        <w:rPr>
          <w:rFonts w:ascii="Times New Roman" w:hAnsi="Times New Roman" w:eastAsia="MS Mincho"/>
          <w:b w:val="0"/>
          <w:i w:val="0"/>
          <w:sz w:val="24"/>
        </w:rPr>
        <w:t>. United Nations.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