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pPr>
      <w:r>
        <w:rPr>
          <w:rFonts w:ascii="Times New Roman" w:hAnsi="Times New Roman" w:eastAsia="MS Mincho"/>
          <w:b/>
          <w:i w:val="0"/>
          <w:sz w:val="32"/>
        </w:rPr>
        <w:t>ソロー残差は何を隠していたか：国民資本ストックにおけるテンポ・ドリフトと欠落無形資本シェア</w:t>
      </w:r>
    </w:p>
    <w:p>
      <w:pPr>
        <w:spacing w:after="120" w:line="360" w:lineRule="auto"/>
        <w:ind w:firstLine="480"/>
      </w:pPr>
      <w:r>
        <w:rPr>
          <w:rFonts w:ascii="Times New Roman" w:hAnsi="Times New Roman" w:eastAsia="MS Mincho"/>
          <w:b/>
          <w:i w:val="0"/>
          <w:sz w:val="24"/>
        </w:rPr>
        <w:t>大西達紀（Onishi Tatsuki）</w:t>
      </w:r>
    </w:p>
    <w:p>
      <w:pPr>
        <w:spacing w:after="120" w:line="360" w:lineRule="auto"/>
        <w:ind w:firstLine="480"/>
      </w:pPr>
      <w:r>
        <w:rPr>
          <w:rFonts w:ascii="Times New Roman" w:hAnsi="Times New Roman" w:eastAsia="MS Mincho"/>
          <w:b w:val="0"/>
          <w:i w:val="0"/>
          <w:sz w:val="24"/>
        </w:rPr>
        <w:t>滋賀大学 データサイエンス・AIイノベーション研究推進センター</w:t>
      </w:r>
    </w:p>
    <w:p>
      <w:pPr>
        <w:spacing w:after="120" w:line="360" w:lineRule="auto"/>
        <w:ind w:firstLine="480"/>
      </w:pPr>
      <w:r>
        <w:rPr>
          <w:rFonts w:ascii="Times New Roman" w:hAnsi="Times New Roman" w:eastAsia="MS Mincho"/>
          <w:b w:val="0"/>
          <w:i w:val="0"/>
          <w:sz w:val="24"/>
        </w:rPr>
        <w:t>〒522-8522 滋賀県彦根市馬場 1-1-1</w:t>
      </w:r>
    </w:p>
    <w:p>
      <w:pPr>
        <w:spacing w:after="120" w:line="360" w:lineRule="auto"/>
        <w:ind w:firstLine="480"/>
      </w:pPr>
      <w:r>
        <w:rPr>
          <w:rFonts w:ascii="Times New Roman" w:hAnsi="Times New Roman" w:eastAsia="MS Mincho"/>
          <w:b w:val="0"/>
          <w:i w:val="0"/>
          <w:sz w:val="24"/>
        </w:rPr>
        <w:t>電話：+81-749-27-1023. E-mail: bougtoir@gmail.com. ORCID: 0000-0001-7261-9062.</w:t>
      </w:r>
    </w:p>
    <w:p>
      <w:pPr>
        <w:spacing w:after="120" w:line="360" w:lineRule="auto"/>
        <w:ind w:firstLine="480"/>
      </w:pPr>
      <w:r>
        <w:rPr>
          <w:rFonts w:ascii="Times New Roman" w:hAnsi="Times New Roman" w:eastAsia="MS Mincho"/>
          <w:b/>
          <w:i w:val="0"/>
          <w:sz w:val="24"/>
        </w:rPr>
        <w:t>キーワード</w:t>
      </w:r>
      <w:r>
        <w:rPr>
          <w:rFonts w:ascii="Times New Roman" w:hAnsi="Times New Roman" w:eastAsia="MS Mincho"/>
          <w:b w:val="0"/>
          <w:i w:val="0"/>
          <w:sz w:val="24"/>
        </w:rPr>
        <w:t>: ソロー残差、タイム・トゥ・ビルド、無形資本、成長会計、国富。</w:t>
      </w:r>
    </w:p>
    <w:p>
      <w:pPr>
        <w:spacing w:after="120" w:line="360" w:lineRule="auto"/>
        <w:ind w:firstLine="480"/>
      </w:pPr>
      <w:r>
        <w:rPr>
          <w:rFonts w:ascii="Times New Roman" w:hAnsi="Times New Roman" w:eastAsia="MS Mincho"/>
          <w:b/>
          <w:i w:val="0"/>
          <w:sz w:val="24"/>
        </w:rPr>
        <w:t>JEL コード</w:t>
      </w:r>
      <w:r>
        <w:rPr>
          <w:rFonts w:ascii="Times New Roman" w:hAnsi="Times New Roman" w:eastAsia="MS Mincho"/>
          <w:b w:val="0"/>
          <w:i w:val="0"/>
          <w:sz w:val="24"/>
        </w:rPr>
        <w:t>: E01; E22; O47.</w:t>
      </w:r>
    </w:p>
    <w:p>
      <w:pPr>
        <w:spacing w:after="120" w:line="360" w:lineRule="auto"/>
        <w:ind w:firstLine="480"/>
      </w:pPr>
      <w:r>
        <w:rPr>
          <w:rFonts w:ascii="Times New Roman" w:hAnsi="Times New Roman" w:eastAsia="MS Mincho"/>
          <w:b/>
          <w:i w:val="0"/>
          <w:sz w:val="24"/>
        </w:rPr>
        <w:t>宣言事項</w:t>
      </w:r>
    </w:p>
    <w:p>
      <w:pPr>
        <w:spacing w:after="120" w:line="360" w:lineRule="auto"/>
        <w:ind w:firstLine="480"/>
      </w:pPr>
      <w:r>
        <w:rPr>
          <w:rFonts w:ascii="Times New Roman" w:hAnsi="Times New Roman" w:eastAsia="MS Mincho"/>
          <w:b w:val="0"/>
          <w:i/>
          <w:sz w:val="24"/>
        </w:rPr>
        <w:t>利益相反</w:t>
      </w:r>
      <w:r>
        <w:rPr>
          <w:rFonts w:ascii="Times New Roman" w:hAnsi="Times New Roman" w:eastAsia="MS Mincho"/>
          <w:b w:val="0"/>
          <w:i w:val="0"/>
          <w:sz w:val="24"/>
        </w:rPr>
        <w:t>: 著者は開示すべき利益相反を有しない。</w:t>
      </w:r>
    </w:p>
    <w:p>
      <w:pPr>
        <w:spacing w:after="120" w:line="360" w:lineRule="auto"/>
        <w:ind w:firstLine="480"/>
      </w:pPr>
      <w:r>
        <w:rPr>
          <w:rFonts w:ascii="Times New Roman" w:hAnsi="Times New Roman" w:eastAsia="MS Mincho"/>
          <w:b w:val="0"/>
          <w:i/>
          <w:sz w:val="24"/>
        </w:rPr>
        <w:t>資金</w:t>
      </w:r>
      <w:r>
        <w:rPr>
          <w:rFonts w:ascii="Times New Roman" w:hAnsi="Times New Roman" w:eastAsia="MS Mincho"/>
          <w:b w:val="0"/>
          <w:i w:val="0"/>
          <w:sz w:val="24"/>
        </w:rPr>
        <w:t>: 本研究に対する外部資金の提供はない。</w:t>
      </w:r>
    </w:p>
    <w:p>
      <w:pPr>
        <w:spacing w:after="120" w:line="360" w:lineRule="auto"/>
        <w:ind w:firstLine="480"/>
      </w:pPr>
      <w:r>
        <w:rPr>
          <w:rFonts w:ascii="Times New Roman" w:hAnsi="Times New Roman" w:eastAsia="MS Mincho"/>
          <w:b w:val="0"/>
          <w:i/>
          <w:sz w:val="24"/>
        </w:rPr>
        <w:t>データ・コード公開</w:t>
      </w:r>
      <w:r>
        <w:rPr>
          <w:rFonts w:ascii="Times New Roman" w:hAnsi="Times New Roman" w:eastAsia="MS Mincho"/>
          <w:b w:val="0"/>
          <w:i w:val="0"/>
          <w:sz w:val="24"/>
        </w:rPr>
        <w:t>: 本研究で用いた Penn World Table 10.01、World Bank CWON、および World Bank WDI のデータは、それぞれ Groningen Growth and Development Centre および世界銀行から公開されている。解析スクリプト、中間結果、原稿ソースは付随する公開リポジトリ (https://github.com/bougtoir/gdp-tempo-paper) にすべて保管されている。</w:t>
      </w:r>
    </w:p>
    <w:p>
      <w:pPr>
        <w:spacing w:after="120" w:line="360" w:lineRule="auto"/>
        <w:ind w:firstLine="480"/>
      </w:pPr>
      <w:r>
        <w:rPr>
          <w:rFonts w:ascii="Times New Roman" w:hAnsi="Times New Roman" w:eastAsia="MS Mincho"/>
          <w:b w:val="0"/>
          <w:i/>
          <w:sz w:val="24"/>
        </w:rPr>
        <w:t>AI ツールの使用</w:t>
      </w:r>
      <w:r>
        <w:rPr>
          <w:rFonts w:ascii="Times New Roman" w:hAnsi="Times New Roman" w:eastAsia="MS Mincho"/>
          <w:b w:val="0"/>
          <w:i w:val="0"/>
          <w:sz w:val="24"/>
        </w:rPr>
        <w:t>: 著者は文面のフォーマット整形、文体に合う語彙の選択、および解析コードの作成補助の目的で生成 AI を使用した。著者は内容を必要に応じて確認・編集しており、公表される論文の内容について全責任を負う。</w:t>
      </w:r>
    </w:p>
    <w:p>
      <w:pPr>
        <w:spacing w:after="120" w:line="360" w:lineRule="auto"/>
        <w:ind w:firstLine="480"/>
      </w:pPr>
      <w:r>
        <w:rPr>
          <w:rFonts w:ascii="Times New Roman" w:hAnsi="Times New Roman" w:eastAsia="MS Mincho"/>
          <w:b/>
          <w:i w:val="0"/>
          <w:sz w:val="24"/>
        </w:rPr>
        <w:t>要旨。</w:t>
      </w:r>
      <w:r>
        <w:rPr>
          <w:rFonts w:ascii="Times New Roman" w:hAnsi="Times New Roman" w:eastAsia="MS Mincho"/>
          <w:b w:val="0"/>
          <w:i w:val="0"/>
          <w:sz w:val="24"/>
        </w:rPr>
        <w:t xml:space="preserve"> 従来の成長会計が全要素生産性（TFP）と呼ぶもののかなりの部分が、帳簿上の人為的歪みであることを示す。これは、公式統計がゼロと置く時変タイム・トゥ・ビルドパラメータ </w:t>
      </w:r>
      <w:r>
        <w:rPr>
          <w:rFonts w:ascii="Times New Roman" w:hAnsi="Times New Roman" w:eastAsia="MS Mincho"/>
          <w:b w:val="0"/>
          <w:i/>
          <w:sz w:val="24"/>
        </w:rPr>
        <w:t>μ</w:t>
      </w:r>
      <w:r>
        <w:rPr>
          <w:rFonts w:ascii="Times New Roman" w:hAnsi="Times New Roman" w:eastAsia="MS Mincho"/>
          <w:b w:val="0"/>
          <w:i w:val="0"/>
          <w:sz w:val="24"/>
        </w:rPr>
        <w:t xml:space="preserve">(t) と省略された無形資本シェア </w:t>
      </w:r>
      <w:r>
        <w:rPr>
          <w:rFonts w:ascii="Times New Roman" w:hAnsi="Times New Roman" w:eastAsia="MS Mincho"/>
          <w:b w:val="0"/>
          <w:i/>
          <w:sz w:val="24"/>
        </w:rPr>
        <w:t>β</w:t>
      </w:r>
      <w:r>
        <w:rPr>
          <w:rFonts w:ascii="Times New Roman" w:hAnsi="Times New Roman" w:eastAsia="MS Mincho"/>
          <w:b w:val="0"/>
          <w:i w:val="0"/>
          <w:sz w:val="24"/>
        </w:rPr>
        <w:t xml:space="preserve"> に起因する。OECD・中所得国39カ国（Penn World Table 10.01、世界銀行CWON、1995–2019年）について、</w:t>
      </w:r>
      <w:r>
        <w:rPr>
          <w:rFonts w:ascii="Times New Roman" w:hAnsi="Times New Roman" w:eastAsia="MS Mincho"/>
          <w:b w:val="0"/>
          <w:i/>
          <w:sz w:val="24"/>
        </w:rPr>
        <w:t>μ</w:t>
      </w:r>
      <w:r>
        <w:rPr>
          <w:rFonts w:ascii="Times New Roman" w:hAnsi="Times New Roman" w:eastAsia="MS Mincho"/>
          <w:b w:val="0"/>
          <w:i w:val="0"/>
          <w:sz w:val="24"/>
        </w:rPr>
        <w:t>のドリフトと</w:t>
      </w:r>
      <w:r>
        <w:rPr>
          <w:rFonts w:ascii="Times New Roman" w:hAnsi="Times New Roman" w:eastAsia="MS Mincho"/>
          <w:b w:val="0"/>
          <w:i/>
          <w:sz w:val="24"/>
        </w:rPr>
        <w:t>β</w:t>
      </w:r>
      <w:r>
        <w:rPr>
          <w:rFonts w:ascii="Times New Roman" w:hAnsi="Times New Roman" w:eastAsia="MS Mincho"/>
          <w:b w:val="0"/>
          <w:i w:val="0"/>
          <w:sz w:val="24"/>
        </w:rPr>
        <w:t>の参入を同時に許容すると、GDP水準の標本外予測誤差が4.60%から3.99%に低下する（相対13%改善）。ソロー残差分解により、TFP成長率分散の最大30%がテンポ・ドリフト単独で説明される。反事実的国富計算によれば、公式の生産資本は高R&amp;D経済で無形資本調整後の富を0.3–1.1%過小評価している。これらの補正により、生産面（フロー）と国富面（ストック）の国民経済計算がほとんどの国で1–2%以内で整合し、Beyond-GDP 議論の長年の緊張が解消される。</w:t>
      </w:r>
    </w:p>
    <w:p>
      <w:pPr>
        <w:spacing w:after="120" w:line="360" w:lineRule="auto"/>
        <w:ind w:firstLine="480"/>
      </w:pPr>
      <w:r>
        <w:rPr>
          <w:rFonts w:ascii="Times New Roman" w:hAnsi="Times New Roman" w:eastAsia="MS Mincho"/>
          <w:b/>
          <w:i w:val="0"/>
          <w:sz w:val="24"/>
        </w:rPr>
        <w:t>キーワード</w:t>
      </w:r>
      <w:r>
        <w:rPr>
          <w:rFonts w:ascii="Times New Roman" w:hAnsi="Times New Roman" w:eastAsia="MS Mincho"/>
          <w:b w:val="0"/>
          <w:i w:val="0"/>
          <w:sz w:val="24"/>
        </w:rPr>
        <w:t>: ソロー残差、タイム・トゥ・ビルド、無形資本、成長会計、国富。</w:t>
      </w:r>
    </w:p>
    <w:p>
      <w:pPr>
        <w:spacing w:after="120" w:line="360" w:lineRule="auto"/>
        <w:ind w:firstLine="480"/>
      </w:pPr>
      <w:r>
        <w:rPr>
          <w:rFonts w:ascii="Times New Roman" w:hAnsi="Times New Roman" w:eastAsia="MS Mincho"/>
          <w:b/>
          <w:i w:val="0"/>
          <w:sz w:val="24"/>
        </w:rPr>
        <w:t>JEL コード</w:t>
      </w:r>
      <w:r>
        <w:rPr>
          <w:rFonts w:ascii="Times New Roman" w:hAnsi="Times New Roman" w:eastAsia="MS Mincho"/>
          <w:b w:val="0"/>
          <w:i w:val="0"/>
          <w:sz w:val="24"/>
        </w:rPr>
        <w:t>: E01, E22, O47.</w:t>
      </w:r>
    </w:p>
    <w:p>
      <w:pPr>
        <w:spacing w:before="360" w:after="120" w:line="360" w:lineRule="auto"/>
      </w:pPr>
      <w:r>
        <w:rPr>
          <w:rFonts w:ascii="Times New Roman" w:hAnsi="Times New Roman" w:eastAsia="MS Mincho"/>
          <w:b/>
          <w:i w:val="0"/>
          <w:sz w:val="28"/>
        </w:rPr>
        <w:t>はじめに</w:t>
      </w:r>
    </w:p>
    <w:p>
      <w:pPr>
        <w:spacing w:after="120" w:line="360" w:lineRule="auto"/>
        <w:ind w:firstLine="480"/>
      </w:pPr>
      <w:r>
        <w:rPr>
          <w:rFonts w:ascii="Times New Roman" w:hAnsi="Times New Roman" w:eastAsia="MS Mincho"/>
          <w:b w:val="0"/>
          <w:i w:val="0"/>
          <w:sz w:val="24"/>
        </w:rPr>
        <w:t>Solow (1957) 以来、成長会計の残差は技術進歩の指標として扱われてきた。部門別資本、人的資本、稼働率調整といった半世紀の精緻化を経ても、TFP成長はなお大きく、十分に理解されていない産出変動を吸収し続けている。本稿は、TFPと呼ばれてきたものの相当部分が、従来の成長会計がゼロと置く二つのパラメータに起因する帳簿上の人為的歪みであることを示す。</w:t>
      </w:r>
    </w:p>
    <w:p>
      <w:pPr>
        <w:spacing w:after="120" w:line="360" w:lineRule="auto"/>
        <w:ind w:firstLine="480"/>
      </w:pPr>
      <w:r>
        <w:rPr>
          <w:rFonts w:ascii="Times New Roman" w:hAnsi="Times New Roman" w:eastAsia="MS Mincho"/>
          <w:b w:val="0"/>
          <w:i w:val="0"/>
          <w:sz w:val="24"/>
        </w:rPr>
        <w:t xml:space="preserve">第一のパラメータは、時変の投資から産出へのラグ </w:t>
      </w:r>
      <w:r>
        <w:rPr>
          <w:rFonts w:ascii="Times New Roman" w:hAnsi="Times New Roman" w:eastAsia="MS Mincho"/>
          <w:b w:val="0"/>
          <w:i/>
          <w:sz w:val="24"/>
        </w:rPr>
        <w:t>μ</w:t>
      </w:r>
      <w:r>
        <w:rPr>
          <w:rFonts w:ascii="Times New Roman" w:hAnsi="Times New Roman" w:eastAsia="MS Mincho"/>
          <w:b w:val="0"/>
          <w:i w:val="0"/>
          <w:sz w:val="24"/>
        </w:rPr>
        <w:t>(t) である。標準的な恒久棚卸法（PIM）は、投資が即座に生産的になる（</w:t>
      </w:r>
      <w:r>
        <w:rPr>
          <w:rFonts w:ascii="Times New Roman" w:hAnsi="Times New Roman" w:eastAsia="MS Mincho"/>
          <w:b w:val="0"/>
          <w:i/>
          <w:sz w:val="24"/>
        </w:rPr>
        <w:t>μ</w:t>
      </w:r>
      <w:r>
        <w:rPr>
          <w:rFonts w:ascii="Times New Roman" w:hAnsi="Times New Roman" w:eastAsia="MS Mincho"/>
          <w:b w:val="0"/>
          <w:i w:val="0"/>
          <w:sz w:val="24"/>
        </w:rPr>
        <w:t xml:space="preserve"> = 0）か、固定的・時不変のラグを持つと仮定する。しかし投資の構成は、カスタムソフトウェア、クラウド基盤、製薬R&amp;D、複雑なエンジニアリングシステムといったリードタイムの長い資産へと決定的にシフトしており、原初のラグ文献が想定した建屋・設備とは懐胎期間が桁違いに異なる（OECD, 2013; Corrado et al., 2020）。</w:t>
      </w:r>
      <w:r>
        <w:rPr>
          <w:rFonts w:ascii="Times New Roman" w:hAnsi="Times New Roman" w:eastAsia="MS Mincho"/>
          <w:b w:val="0"/>
          <w:i/>
          <w:sz w:val="24"/>
        </w:rPr>
        <w:t>μ</w:t>
      </w:r>
      <w:r>
        <w:rPr>
          <w:rFonts w:ascii="Times New Roman" w:hAnsi="Times New Roman" w:eastAsia="MS Mincho"/>
          <w:b w:val="0"/>
          <w:i w:val="0"/>
          <w:sz w:val="24"/>
        </w:rPr>
        <w:t xml:space="preserve"> が上昇しているのにゼロと扱うと、PIM資本ストックのタイミングが狂い、ソロー残差がその誤差を吸収する。第二のパラメータは、無形資本シェア </w:t>
      </w:r>
      <w:r>
        <w:rPr>
          <w:rFonts w:ascii="Times New Roman" w:hAnsi="Times New Roman" w:eastAsia="MS Mincho"/>
          <w:b w:val="0"/>
          <w:i/>
          <w:sz w:val="24"/>
        </w:rPr>
        <w:t>β</w:t>
      </w:r>
      <w:r>
        <w:rPr>
          <w:rFonts w:ascii="Times New Roman" w:hAnsi="Times New Roman" w:eastAsia="MS Mincho"/>
          <w:b w:val="0"/>
          <w:i w:val="0"/>
          <w:sz w:val="24"/>
        </w:rPr>
        <w:t xml:space="preserve"> である。Corrado, Hulten, and Sichel (2005, 2009) が無形投資の量的な大きさを示してきたにもかかわらず、世界銀行 CWON（Lange, Wodon, and Carey, 2018）を含む公的国富会計はほとんどの無形資本を生産資本から除外したままである。</w:t>
      </w:r>
      <w:r>
        <w:rPr>
          <w:rFonts w:ascii="Times New Roman" w:hAnsi="Times New Roman" w:eastAsia="MS Mincho"/>
          <w:b w:val="0"/>
          <w:i/>
          <w:sz w:val="24"/>
        </w:rPr>
        <w:t>β</w:t>
      </w:r>
      <w:r>
        <w:rPr>
          <w:rFonts w:ascii="Times New Roman" w:hAnsi="Times New Roman" w:eastAsia="MS Mincho"/>
          <w:b w:val="0"/>
          <w:i w:val="0"/>
          <w:sz w:val="24"/>
        </w:rPr>
        <w:t xml:space="preserve"> をゼロとすれば、欠落資本が再びTFPを膨張させる。</w:t>
      </w:r>
    </w:p>
    <w:p>
      <w:pPr>
        <w:spacing w:after="120" w:line="360" w:lineRule="auto"/>
        <w:ind w:firstLine="480"/>
      </w:pPr>
      <w:r>
        <w:rPr>
          <w:rFonts w:ascii="Times New Roman" w:hAnsi="Times New Roman" w:eastAsia="MS Mincho"/>
          <w:b w:val="0"/>
          <w:i w:val="0"/>
          <w:sz w:val="24"/>
        </w:rPr>
        <w:t>本稿は、人口統計学との構造的類似性を利用し、両パラメータを同時に同定する。Bongaarts and Feeney (1998) が平均出産年齢のドリフトが完結出生率一定でも期間出生率を押し下げることを示し、Goldstein, Lutz, and Scherbov (2003) が単一の「忘れられた」パリティ別分散パラメータを加えると矛盾が解消することを示した。同じ数学が、精密な変数変換のもとで資本会計に適用される（表 2）。注目すべきは、テンポ調整それ自体が人口学の内部ですら数十年にわたり忘れられた洞察であったことである。出生テンポ文献は1970年代の定式化以降、Bongaarts and Feeney が1998年に復活させるまで休眠状態にあり、忘れられた分散パラメータが Goldstein, Lutz, and Scherbov によって補填されるにはさらに5年を要した。人口学者の目の前に一世代にわたり存在していたタイミング補正が、再発見されるや変革的であったとすれば、同一の補正が――資本会計およびGDP計測というはるかに広大な領域に初めて適用される場合に――新たな実証的内容を持たないとすれば、むしろ驚きであろう。</w:t>
      </w:r>
    </w:p>
    <w:p>
      <w:pPr>
        <w:spacing w:after="120" w:line="360" w:lineRule="auto"/>
        <w:ind w:firstLine="480"/>
      </w:pPr>
      <w:r>
        <w:rPr>
          <w:rFonts w:ascii="Times New Roman" w:hAnsi="Times New Roman" w:eastAsia="MS Mincho"/>
          <w:b w:val="0"/>
          <w:i w:val="0"/>
          <w:sz w:val="24"/>
        </w:rPr>
        <w:t xml:space="preserve">貢献は三つある。第一に、OECD・中所得国39カ国（Penn World Table 10.01、世界銀行CWON、1995–2019年）について </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を同時推定し、時変 </w:t>
      </w:r>
      <w:r>
        <w:rPr>
          <w:rFonts w:ascii="Times New Roman" w:hAnsi="Times New Roman" w:eastAsia="MS Mincho"/>
          <w:b w:val="0"/>
          <w:i/>
          <w:sz w:val="24"/>
        </w:rPr>
        <w:t>μ</w:t>
      </w:r>
      <w:r>
        <w:rPr>
          <w:rFonts w:ascii="Times New Roman" w:hAnsi="Times New Roman" w:eastAsia="MS Mincho"/>
          <w:b w:val="0"/>
          <w:i w:val="0"/>
          <w:sz w:val="24"/>
        </w:rPr>
        <w:t>(t) がGDP水準の標本外予測誤差を4.60%から3.99%に低下させる（相対13%改善）ことを示す。第二に、ソロー残差分解により、テンポ・ドリフト単独でTFP成長率分散の最大30%が説明され、反事実的国富計算は公式の生産資本が高R&amp;D経済で0.3–1.1%過小評価していることを示す。第三に、同時補正により生産面（フロー）と国富面（ストック）の国民経済計算がほとんどの国で1–2%以内で整合し、Stiglitz, Sen, and Fitoussi (2009) が提唱した「統合国富会計」プログラムの最初の実証的成功例となる。</w:t>
      </w:r>
    </w:p>
    <w:p>
      <w:pPr>
        <w:spacing w:after="120" w:line="360" w:lineRule="auto"/>
        <w:ind w:firstLine="480"/>
      </w:pPr>
      <w:r>
        <w:rPr>
          <w:rFonts w:ascii="Times New Roman" w:hAnsi="Times New Roman" w:eastAsia="MS Mincho"/>
          <w:b w:val="0"/>
          <w:i w:val="0"/>
          <w:sz w:val="24"/>
        </w:rPr>
        <w:t>以降の構成は次の通り。第 2 節で関連文献を整理し、第 3 節で理論モデルを、第 4 節でデータと推定手法および五つのモデル M0–M4 を、第 5 節でソロー残差分解と反事実的国富シミュレーションを含む結果を報告する。第 6 節で政策含意と Beyond-GDP 議論を議論し、第 7 節で結論を述べる。</w:t>
      </w:r>
    </w:p>
    <w:p>
      <w:pPr>
        <w:spacing w:before="360" w:after="120" w:line="360" w:lineRule="auto"/>
      </w:pPr>
      <w:r>
        <w:rPr>
          <w:rFonts w:ascii="Times New Roman" w:hAnsi="Times New Roman" w:eastAsia="MS Mincho"/>
          <w:b/>
          <w:i w:val="0"/>
          <w:sz w:val="28"/>
        </w:rPr>
        <w:t>2 先行研究</w:t>
      </w:r>
    </w:p>
    <w:p>
      <w:pPr>
        <w:spacing w:after="120" w:line="360" w:lineRule="auto"/>
        <w:ind w:firstLine="480"/>
      </w:pPr>
      <w:r>
        <w:rPr>
          <w:rFonts w:ascii="Times New Roman" w:hAnsi="Times New Roman" w:eastAsia="MS Mincho"/>
          <w:b/>
          <w:i w:val="0"/>
          <w:sz w:val="24"/>
        </w:rPr>
        <w:t>資本会計とタイム・トゥ・ビルド。</w:t>
      </w:r>
      <w:r>
        <w:rPr>
          <w:rFonts w:ascii="Times New Roman" w:hAnsi="Times New Roman" w:eastAsia="MS Mincho"/>
          <w:b w:val="0"/>
          <w:i w:val="0"/>
          <w:sz w:val="24"/>
        </w:rPr>
        <w:t xml:space="preserve"> Kydland and Prescott (1982) 以来、景気循環モデルに多期間投資ラグを入れることは標準となった。経験推定はほぼすべて固定ラグ構造に基づくものであり、全期間で単一の </w:t>
      </w:r>
      <w:r>
        <w:rPr>
          <w:rFonts w:ascii="Times New Roman" w:hAnsi="Times New Roman" w:eastAsia="MS Mincho"/>
          <w:b w:val="0"/>
          <w:i/>
          <w:sz w:val="24"/>
        </w:rPr>
        <w:t>μ</w:t>
      </w:r>
      <w:r>
        <w:rPr>
          <w:rFonts w:ascii="Times New Roman" w:hAnsi="Times New Roman" w:eastAsia="MS Mincho"/>
          <w:b w:val="0"/>
          <w:i w:val="0"/>
          <w:sz w:val="24"/>
        </w:rPr>
        <w:t xml:space="preserve"> を推定するか、景気後退・拡大で少数の場面別 </w:t>
      </w:r>
      <w:r>
        <w:rPr>
          <w:rFonts w:ascii="Times New Roman" w:hAnsi="Times New Roman" w:eastAsia="MS Mincho"/>
          <w:b w:val="0"/>
          <w:i/>
          <w:sz w:val="24"/>
        </w:rPr>
        <w:t>μ</w:t>
      </w:r>
      <w:r>
        <w:rPr>
          <w:rFonts w:ascii="Times New Roman" w:hAnsi="Times New Roman" w:eastAsia="MS Mincho"/>
          <w:b w:val="0"/>
          <w:i w:val="0"/>
          <w:sz w:val="24"/>
        </w:rPr>
        <w:t xml:space="preserve">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w:t>
      </w:r>
      <w:r>
        <w:rPr>
          <w:rFonts w:ascii="Times New Roman" w:hAnsi="Times New Roman" w:eastAsia="MS Mincho"/>
          <w:b w:val="0"/>
          <w:i/>
          <w:sz w:val="24"/>
        </w:rPr>
        <w:t>μ</w:t>
      </w:r>
      <w:r>
        <w:rPr>
          <w:rFonts w:ascii="Times New Roman" w:hAnsi="Times New Roman" w:eastAsia="MS Mincho"/>
          <w:b w:val="0"/>
          <w:i w:val="0"/>
          <w:sz w:val="24"/>
        </w:rPr>
        <w:t xml:space="preserve">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360" w:lineRule="auto"/>
        <w:ind w:firstLine="480"/>
      </w:pPr>
      <w:r>
        <w:rPr>
          <w:rFonts w:ascii="Times New Roman" w:hAnsi="Times New Roman" w:eastAsia="MS Mincho"/>
          <w:b/>
          <w:i w:val="0"/>
          <w:sz w:val="24"/>
        </w:rPr>
        <w:t>無形資本。</w:t>
      </w:r>
      <w:r>
        <w:rPr>
          <w:rFonts w:ascii="Times New Roman" w:hAnsi="Times New Roman" w:eastAsia="MS Mincho"/>
          <w:b w:val="0"/>
          <w:i w:val="0"/>
          <w:sz w:val="24"/>
        </w:rPr>
        <w:t xml:space="preserve">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w:t>
      </w:r>
      <w:r>
        <w:rPr>
          <w:rFonts w:ascii="Times New Roman" w:hAnsi="Times New Roman" w:eastAsia="MS Mincho"/>
          <w:b w:val="0"/>
          <w:i/>
          <w:sz w:val="24"/>
        </w:rPr>
        <w:t>β</w:t>
      </w:r>
      <w:r>
        <w:rPr>
          <w:rFonts w:ascii="Times New Roman" w:hAnsi="Times New Roman" w:eastAsia="MS Mincho"/>
          <w:b w:val="0"/>
          <w:i w:val="0"/>
          <w:sz w:val="24"/>
        </w:rPr>
        <w:t xml:space="preserve"> はグローバル定数ではない。日本、ドイツ、一部の東アジア経済は調和測定の下でも米国より小さな無形シェアを保持する（Corrado et al., 2020）。したがって </w:t>
      </w:r>
      <w:r>
        <w:rPr>
          <w:rFonts w:ascii="Times New Roman" w:hAnsi="Times New Roman" w:eastAsia="MS Mincho"/>
          <w:b w:val="0"/>
          <w:i/>
          <w:sz w:val="24"/>
        </w:rPr>
        <w:t>β</w:t>
      </w:r>
      <w:r>
        <w:rPr>
          <w:rFonts w:ascii="Times New Roman" w:hAnsi="Times New Roman" w:eastAsia="MS Mincho"/>
          <w:b w:val="0"/>
          <w:i w:val="0"/>
          <w:sz w:val="24"/>
        </w:rPr>
        <w:t xml:space="preserve"> は国別パラメータであるべきであり、本稿の第 4 節でもそのように扱う。</w:t>
      </w:r>
    </w:p>
    <w:p>
      <w:pPr>
        <w:spacing w:after="120" w:line="360" w:lineRule="auto"/>
        <w:ind w:firstLine="480"/>
      </w:pPr>
      <w:r>
        <w:rPr>
          <w:rFonts w:ascii="Times New Roman" w:hAnsi="Times New Roman" w:eastAsia="MS Mincho"/>
          <w:b/>
          <w:i w:val="0"/>
          <w:sz w:val="24"/>
        </w:rPr>
        <w:t>国富会計。</w:t>
      </w:r>
      <w:r>
        <w:rPr>
          <w:rFonts w:ascii="Times New Roman" w:hAnsi="Times New Roman" w:eastAsia="MS Mincho"/>
          <w:b w:val="0"/>
          <w:i w:val="0"/>
          <w:sz w:val="24"/>
        </w:rPr>
        <w:t xml:space="preserve">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360" w:lineRule="auto"/>
        <w:ind w:firstLine="480"/>
      </w:pPr>
      <w:r>
        <w:rPr>
          <w:rFonts w:ascii="Times New Roman" w:hAnsi="Times New Roman" w:eastAsia="MS Mincho"/>
          <w:b/>
          <w:i w:val="0"/>
          <w:sz w:val="24"/>
        </w:rPr>
        <w:t>人口学におけるテンポと忘却パラメータ。</w:t>
      </w:r>
      <w:r>
        <w:rPr>
          <w:rFonts w:ascii="Times New Roman" w:hAnsi="Times New Roman" w:eastAsia="MS Mincho"/>
          <w:b w:val="0"/>
          <w:i w:val="0"/>
          <w:sz w:val="24"/>
        </w:rPr>
        <w:t xml:space="preserve"> Bongaarts and Feeney (1998) は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の調整を導入した。</w:t>
      </w:r>
      <w:r>
        <w:rPr>
          <w:rFonts w:ascii="Times New Roman" w:hAnsi="Times New Roman" w:eastAsia="MS Mincho"/>
          <w:b w:val="0"/>
          <w:i w:val="0"/>
          <w:sz w:val="24"/>
        </w:rPr>
        <w:t xml:space="preserve">r(t)* は平均出産年齢の年変化である。Goldstein, Lutz, and Scherbov (2003) は、パリティ別の「忘れられた」分散 </w:t>
      </w:r>
      <w:r>
        <w:rPr>
          <w:rFonts w:ascii="Times New Roman" w:hAnsi="Times New Roman" w:eastAsia="MS Mincho"/>
          <w:b w:val="0"/>
          <w:i/>
          <w:sz w:val="24"/>
        </w:rPr>
        <w:t>σ</w:t>
      </w:r>
      <w:r>
        <w:rPr>
          <w:rFonts w:ascii="Times New Roman" w:hAnsi="Times New Roman" w:eastAsia="MS Mincho"/>
          <w:b w:val="0"/>
          <w:i w:val="0"/>
          <w:sz w:val="24"/>
        </w:rPr>
        <w:t xml:space="preserve">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360" w:lineRule="auto"/>
        <w:ind w:firstLine="480"/>
      </w:pPr>
      <w:r>
        <w:rPr>
          <w:rFonts w:ascii="Times New Roman" w:hAnsi="Times New Roman" w:eastAsia="MS Mincho"/>
          <w:b/>
          <w:i w:val="0"/>
          <w:sz w:val="24"/>
        </w:rPr>
        <w:t>医療と人的資本の持続可能性。</w:t>
      </w:r>
      <w:r>
        <w:rPr>
          <w:rFonts w:ascii="Times New Roman" w:hAnsi="Times New Roman" w:eastAsia="MS Mincho"/>
          <w:b w:val="0"/>
          <w:i w:val="0"/>
          <w:sz w:val="24"/>
        </w:rPr>
        <w:t xml:space="preserve"> 進行中の姉妹論文は、医療支出から平均寿命へのラグ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が 2000 年以降 OECD で年 0.15 年ずつ延伸していること、ならびに忘却パラメータ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（予防・R&amp;D 向け支出シェア）が米日寿命格差のさらなる部分を説明することを示す。同論文は本稿と同じ量・テンポ分解を用いる。</w:t>
      </w:r>
    </w:p>
    <w:p>
      <w:pPr>
        <w:spacing w:after="120" w:line="360" w:lineRule="auto"/>
        <w:ind w:firstLine="480"/>
      </w:pPr>
      <w:r>
        <w:rPr>
          <w:rFonts w:ascii="Times New Roman" w:hAnsi="Times New Roman" w:eastAsia="MS Mincho"/>
          <w:b/>
          <w:i w:val="0"/>
          <w:sz w:val="24"/>
        </w:rPr>
        <w:t>本稿が埋める間隙。</w:t>
      </w:r>
      <w:r>
        <w:rPr>
          <w:rFonts w:ascii="Times New Roman" w:hAnsi="Times New Roman" w:eastAsia="MS Mincho"/>
          <w:b w:val="0"/>
          <w:i w:val="0"/>
          <w:sz w:val="24"/>
        </w:rPr>
        <w:t xml:space="preserve">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360" w:after="120" w:line="360" w:lineRule="auto"/>
      </w:pPr>
      <w:r>
        <w:rPr>
          <w:rFonts w:ascii="Times New Roman" w:hAnsi="Times New Roman" w:eastAsia="MS Mincho"/>
          <w:b/>
          <w:i w:val="0"/>
          <w:sz w:val="28"/>
        </w:rPr>
        <w:t>3 理論</w:t>
      </w:r>
    </w:p>
    <w:p>
      <w:pPr>
        <w:spacing w:before="360" w:after="120" w:line="360" w:lineRule="auto"/>
      </w:pPr>
      <w:r>
        <w:rPr>
          <w:rFonts w:ascii="Times New Roman" w:hAnsi="Times New Roman" w:eastAsia="MS Mincho"/>
          <w:b/>
          <w:i w:val="0"/>
          <w:sz w:val="24"/>
        </w:rPr>
        <w:t>3.1 テンポ付きフロー側生産関数</w:t>
      </w:r>
    </w:p>
    <w:p>
      <w:pPr>
        <w:spacing w:after="120" w:line="360" w:lineRule="auto"/>
        <w:ind w:firstLine="480"/>
      </w:pPr>
      <w:r>
        <w:rPr>
          <w:rFonts w:ascii="Times New Roman" w:hAnsi="Times New Roman" w:eastAsia="MS Mincho"/>
          <w:b w:val="0"/>
          <w:i w:val="0"/>
          <w:sz w:val="24"/>
        </w:rPr>
        <w:t>教科書的な生産関数は、投資が即時に成熟するかのように扱う：</w:t>
      </w:r>
    </w:p>
    <w:p>
      <w:pPr>
        <w:spacing w:before="240" w:after="240" w:line="36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360" w:lineRule="auto"/>
        <w:ind w:firstLine="480"/>
      </w:pPr>
      <w:r>
        <w:rPr>
          <w:rFonts w:ascii="Times New Roman" w:hAnsi="Times New Roman" w:eastAsia="MS Mincho"/>
          <w:b w:val="0"/>
          <w:i w:val="0"/>
          <w:sz w:val="24"/>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360" w:lineRule="auto"/>
        <w:ind w:firstLine="480"/>
      </w:pPr>
      <w:r>
        <w:rPr>
          <w:rFonts w:ascii="Times New Roman" w:hAnsi="Times New Roman" w:eastAsia="MS Mincho"/>
          <w:b w:val="0"/>
          <w:i w:val="0"/>
          <w:sz w:val="24"/>
        </w:rPr>
        <w:t xml:space="preserve">ただし幾何的重み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、すなわち平均ラグはちょうど </w:t>
      </w:r>
      <w:r>
        <w:rPr>
          <w:rFonts w:ascii="Times New Roman" w:hAnsi="Times New Roman" w:eastAsia="MS Mincho"/>
          <w:b w:val="0"/>
          <w:i/>
          <w:sz w:val="24"/>
        </w:rPr>
        <w:t>μ</w:t>
      </w:r>
      <w:r>
        <w:rPr>
          <w:rFonts w:ascii="Times New Roman" w:hAnsi="Times New Roman" w:eastAsia="MS Mincho"/>
          <w:b w:val="0"/>
          <w:i w:val="0"/>
          <w:sz w:val="24"/>
        </w:rPr>
        <w:t xml:space="preserve"> 年である。ラグ文献との本質的差別化は、</w:t>
      </w:r>
      <w:r>
        <w:rPr>
          <w:rFonts w:ascii="Times New Roman" w:hAnsi="Times New Roman" w:eastAsia="MS Mincho"/>
          <w:b w:val="0"/>
          <w:i/>
          <w:sz w:val="24"/>
        </w:rPr>
        <w:t>μ</w:t>
      </w:r>
      <w:r>
        <w:rPr>
          <w:rFonts w:ascii="Times New Roman" w:hAnsi="Times New Roman" w:eastAsia="MS Mincho"/>
          <w:b w:val="0"/>
          <w:i w:val="0"/>
          <w:sz w:val="24"/>
        </w:rPr>
        <w:t xml:space="preserve"> に線形時変を許すことにある：</w:t>
      </w:r>
    </w:p>
    <w:p>
      <w:pPr>
        <w:spacing w:before="240" w:after="240" w:line="36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360" w:lineRule="auto"/>
        <w:ind w:firstLine="480"/>
      </w:pPr>
      <w:r>
        <w:rPr>
          <w:rFonts w:ascii="Times New Roman" w:hAnsi="Times New Roman" w:eastAsia="MS Mincho"/>
          <w:b w:val="0"/>
          <w:i w:val="0"/>
          <w:sz w:val="24"/>
        </w:rPr>
        <w:t xml:space="preserve">ここで </w:t>
      </w:r>
      <w:r>
        <w:rPr>
          <w:rFonts w:ascii="Times New Roman" w:hAnsi="Times New Roman" w:eastAsia="MS Mincho"/>
          <w:b w:val="0"/>
          <w:i/>
          <w:sz w:val="24"/>
        </w:rPr>
        <w:t>μ</w:t>
      </w:r>
      <w:r>
        <w:rPr>
          <w:rFonts w:ascii="Times New Roman" w:hAnsi="Times New Roman" w:eastAsia="MS Mincho"/>
          <w:b w:val="0"/>
          <w:i w:val="0"/>
          <w:sz w:val="24"/>
        </w:rPr>
        <w:t xml:space="preserve">₁ は Bongaarts-Feeney の意味での「テンポ」である。正の </w:t>
      </w:r>
      <w:r>
        <w:rPr>
          <w:rFonts w:ascii="Times New Roman" w:hAnsi="Times New Roman" w:eastAsia="MS Mincho"/>
          <w:b w:val="0"/>
          <w:i/>
          <w:sz w:val="24"/>
        </w:rPr>
        <w:t>μ</w:t>
      </w:r>
      <w:r>
        <w:rPr>
          <w:rFonts w:ascii="Times New Roman" w:hAnsi="Times New Roman" w:eastAsia="MS Mincho"/>
          <w:b w:val="0"/>
          <w:i w:val="0"/>
          <w:sz w:val="24"/>
        </w:rPr>
        <w:t xml:space="preserve">₁ は平均的投資がより長期化すること――たとえばデジタルインフラ、R&amp;D プラットフォーム、複雑な多年度組立を要する投資が増えること――を、負の </w:t>
      </w:r>
      <w:r>
        <w:rPr>
          <w:rFonts w:ascii="Times New Roman" w:hAnsi="Times New Roman" w:eastAsia="MS Mincho"/>
          <w:b w:val="0"/>
          <w:i/>
          <w:sz w:val="24"/>
        </w:rPr>
        <w:t>μ</w:t>
      </w:r>
      <w:r>
        <w:rPr>
          <w:rFonts w:ascii="Times New Roman" w:hAnsi="Times New Roman" w:eastAsia="MS Mincho"/>
          <w:b w:val="0"/>
          <w:i w:val="0"/>
          <w:sz w:val="24"/>
        </w:rPr>
        <w:t>₁ はその逆を意味する。</w:t>
      </w:r>
    </w:p>
    <w:p>
      <w:pPr>
        <w:spacing w:before="360" w:after="120" w:line="360" w:lineRule="auto"/>
      </w:pPr>
      <w:r>
        <w:rPr>
          <w:rFonts w:ascii="Times New Roman" w:hAnsi="Times New Roman" w:eastAsia="MS Mincho"/>
          <w:b/>
          <w:i w:val="0"/>
          <w:sz w:val="24"/>
        </w:rPr>
        <w:t>3.2 ストック側の無形資本：忘れられた β</w:t>
      </w:r>
    </w:p>
    <w:p>
      <w:pPr>
        <w:spacing w:after="120" w:line="360" w:lineRule="auto"/>
        <w:ind w:firstLine="480"/>
      </w:pP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を (M1)-(M2) から得られる有形 PIM ストックとし、</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を R&amp;D 支出を減耗率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で幾何的 PIM 化した無形ストックとする（Corrado-Hulten-Sichel, 2009）。無形を含む拡張生産関数は：</w:t>
      </w:r>
    </w:p>
    <w:p>
      <w:pPr>
        <w:spacing w:before="240" w:after="240" w:line="36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360" w:lineRule="auto"/>
        <w:ind w:firstLine="480"/>
      </w:pPr>
      <w:r>
        <w:rPr>
          <w:rFonts w:ascii="Times New Roman" w:hAnsi="Times New Roman" w:eastAsia="MS Mincho"/>
          <w:b w:val="0"/>
          <w:i w:val="0"/>
          <w:sz w:val="24"/>
        </w:rPr>
        <w:t xml:space="preserve">ここで </w:t>
      </w:r>
      <w:r>
        <w:rPr>
          <w:rFonts w:ascii="Times New Roman" w:hAnsi="Times New Roman" w:eastAsia="MS Mincho"/>
          <w:b w:val="0"/>
          <w:i/>
          <w:sz w:val="24"/>
        </w:rPr>
        <w:t>β</w:t>
      </w:r>
      <w:r>
        <w:rPr>
          <w:rFonts w:ascii="Times New Roman" w:hAnsi="Times New Roman" w:eastAsia="MS Mincho"/>
          <w:b w:val="0"/>
          <w:i w:val="0"/>
          <w:sz w:val="24"/>
        </w:rPr>
        <w:t xml:space="preserve"> は無形シェアである。標準慣行は </w:t>
      </w:r>
      <w:r>
        <w:rPr>
          <w:rFonts w:ascii="Times New Roman" w:hAnsi="Times New Roman" w:eastAsia="MS Mincho"/>
          <w:b w:val="0"/>
          <w:i/>
          <w:sz w:val="24"/>
        </w:rPr>
        <w:t>β</w:t>
      </w:r>
      <w:r>
        <w:rPr>
          <w:rFonts w:ascii="Times New Roman" w:hAnsi="Times New Roman" w:eastAsia="MS Mincho"/>
          <w:b w:val="0"/>
          <w:i w:val="0"/>
          <w:sz w:val="24"/>
        </w:rPr>
        <w:t xml:space="preserve"> = 0 を課す（Solow; 本稿 M0・M1 も同様）。</w:t>
      </w:r>
      <w:r>
        <w:rPr>
          <w:rFonts w:ascii="Times New Roman" w:hAnsi="Times New Roman" w:eastAsia="MS Mincho"/>
          <w:b w:val="0"/>
          <w:i/>
          <w:sz w:val="24"/>
        </w:rPr>
        <w:t>β</w:t>
      </w:r>
      <w:r>
        <w:rPr>
          <w:rFonts w:ascii="Times New Roman" w:hAnsi="Times New Roman" w:eastAsia="MS Mincho"/>
          <w:b w:val="0"/>
          <w:i w:val="0"/>
          <w:sz w:val="24"/>
        </w:rPr>
        <w:t xml:space="preserve"> &gt; 0 を推定することは、Goldstein-Lutz-Scherbov における </w:t>
      </w:r>
      <w:r>
        <w:rPr>
          <w:rFonts w:ascii="Times New Roman" w:hAnsi="Times New Roman" w:eastAsia="MS Mincho"/>
          <w:b w:val="0"/>
          <w:i/>
          <w:sz w:val="24"/>
        </w:rPr>
        <w:t>σ</w:t>
      </w:r>
      <w:r>
        <w:rPr>
          <w:rFonts w:ascii="Times New Roman" w:hAnsi="Times New Roman" w:eastAsia="MS Mincho"/>
          <w:b w:val="0"/>
          <w:i w:val="0"/>
          <w:sz w:val="24"/>
        </w:rPr>
        <w:t xml:space="preserve"> 再導入の資本会計上の類似物である。</w:t>
      </w:r>
    </w:p>
    <w:p>
      <w:pPr>
        <w:spacing w:before="360" w:after="120" w:line="360" w:lineRule="auto"/>
      </w:pPr>
      <w:r>
        <w:rPr>
          <w:rFonts w:ascii="Times New Roman" w:hAnsi="Times New Roman" w:eastAsia="MS Mincho"/>
          <w:b/>
          <w:i w:val="0"/>
          <w:sz w:val="24"/>
        </w:rPr>
        <w:t>3.3 統合恒等式：フロー＝ストック同時損失関数</w:t>
      </w:r>
    </w:p>
    <w:p>
      <w:pPr>
        <w:spacing w:after="120" w:line="360" w:lineRule="auto"/>
        <w:ind w:firstLine="480"/>
      </w:pPr>
      <w:r>
        <w:rPr>
          <w:rFonts w:ascii="Times New Roman" w:hAnsi="Times New Roman" w:eastAsia="MS Mincho"/>
          <w:b w:val="0"/>
          <w:i w:val="0"/>
          <w:sz w:val="24"/>
        </w:rPr>
        <w:t xml:space="preserve">整合的な国富集計 </w:t>
      </w:r>
      <w:r>
        <w:rPr>
          <w:rFonts w:ascii="Times New Roman" w:hAnsi="Times New Roman" w:eastAsia="MS Mincho"/>
          <w:b w:val="0"/>
          <w:i/>
          <w:sz w:val="24"/>
        </w:rPr>
        <w:t>W(t)</w:t>
      </w:r>
      <w:r>
        <w:rPr>
          <w:rFonts w:ascii="Times New Roman" w:hAnsi="Times New Roman" w:eastAsia="MS Mincho"/>
          <w:b w:val="0"/>
          <w:i w:val="0"/>
          <w:sz w:val="24"/>
        </w:rPr>
        <w:t xml:space="preserve"> は帳簿恒等式</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360" w:lineRule="auto"/>
        <w:ind w:firstLine="480"/>
      </w:pPr>
      <w:r>
        <w:rPr>
          <w:rFonts w:ascii="Times New Roman" w:hAnsi="Times New Roman" w:eastAsia="MS Mincho"/>
          <w:b w:val="0"/>
          <w:i w:val="0"/>
          <w:sz w:val="24"/>
        </w:rPr>
        <w:t>を必ず満たす。(1) のもとで、生産側を支配する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は、国富勘定が含意する再生産可能資本軌道をも支配するはずである。したがって単一の同時損失関数を定義する：</w:t>
      </w:r>
    </w:p>
    <w:p>
      <w:pPr>
        <w:spacing w:before="240" w:after="240" w:line="36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360" w:lineRule="auto"/>
        <w:ind w:firstLine="480"/>
      </w:pP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は生産関数 (M3) の成長率残差、</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は PIM ストック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と CWON 生産資本系列 NW.PCA.TO(t) の国内軌跡 RMSE である。(2) の最小化により「M4 同時」推定量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oint) を得る。</w:t>
      </w:r>
      <w:r>
        <w:rPr>
          <w:rFonts w:ascii="Times New Roman" w:hAnsi="Times New Roman" w:eastAsia="MS Mincho"/>
          <w:b w:val="0"/>
          <w:i/>
          <w:sz w:val="24"/>
        </w:rPr>
        <w:t>λ</w:t>
      </w:r>
      <w:r>
        <w:rPr>
          <w:rFonts w:ascii="Times New Roman" w:hAnsi="Times New Roman" w:eastAsia="MS Mincho"/>
          <w:b w:val="0"/>
          <w:i w:val="0"/>
          <w:sz w:val="24"/>
        </w:rPr>
        <w:t xml:space="preserve"> = 0 は生産のみの推定に帰着する。</w:t>
      </w:r>
    </w:p>
    <w:p>
      <w:pPr>
        <w:spacing w:before="360" w:after="120" w:line="360" w:lineRule="auto"/>
      </w:pPr>
      <w:r>
        <w:rPr>
          <w:rFonts w:ascii="Times New Roman" w:hAnsi="Times New Roman" w:eastAsia="MS Mincho"/>
          <w:b/>
          <w:i w:val="0"/>
          <w:sz w:val="24"/>
        </w:rPr>
        <w:t>3.4 人口と資本の量・テンポ対応</w:t>
      </w:r>
    </w:p>
    <w:p>
      <w:pPr>
        <w:spacing w:after="120" w:line="360" w:lineRule="auto"/>
        <w:ind w:firstLine="480"/>
      </w:pPr>
      <w:r>
        <w:rPr>
          <w:rFonts w:ascii="Times New Roman" w:hAnsi="Times New Roman" w:eastAsia="MS Mincho"/>
          <w:b w:val="0"/>
          <w:i w:val="0"/>
          <w:sz w:val="24"/>
        </w:rPr>
        <w:t xml:space="preserve">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w:t>
      </w:r>
      <w:r>
        <w:rPr>
          <w:rFonts w:ascii="Times New Roman" w:hAnsi="Times New Roman" w:eastAsia="MS Mincho"/>
          <w:b w:val="0"/>
          <w:i/>
          <w:sz w:val="24"/>
        </w:rPr>
        <w:t>σ</w:t>
      </w:r>
      <w:r>
        <w:rPr>
          <w:rFonts w:ascii="Times New Roman" w:hAnsi="Times New Roman" w:eastAsia="MS Mincho"/>
          <w:b w:val="0"/>
          <w:i w:val="0"/>
          <w:sz w:val="24"/>
        </w:rPr>
        <w:t xml:space="preserve"> を同定する統計ツール（コホート整合性検定、Brass 相対モデル）には資本会計上の直接的な類似物があり、本稿はこれを活用する。</w:t>
      </w:r>
    </w:p>
    <w:p>
      <w:pPr>
        <w:spacing w:before="360" w:after="120" w:line="360" w:lineRule="auto"/>
      </w:pPr>
      <w:r>
        <w:rPr>
          <w:rFonts w:ascii="Times New Roman" w:hAnsi="Times New Roman" w:eastAsia="MS Mincho"/>
          <w:b/>
          <w:i w:val="0"/>
          <w:sz w:val="24"/>
        </w:rPr>
        <w:t>3.5 関係型PIM：資本会計のためのBrassモデル</w:t>
      </w:r>
    </w:p>
    <w:p>
      <w:pPr>
        <w:spacing w:after="120" w:line="360" w:lineRule="auto"/>
        <w:ind w:firstLine="480"/>
      </w:pPr>
      <w:r>
        <w:rPr>
          <w:rFonts w:ascii="Times New Roman" w:hAnsi="Times New Roman" w:eastAsia="MS Mincho"/>
          <w:b w:val="0"/>
          <w:i w:val="0"/>
          <w:sz w:val="24"/>
        </w:rPr>
        <w:t>人口学では、観測された出生率・死亡率スケジュールを「基準」スケジュールと比較し、系統的偏差を少数のパラメータで捉えるBrass相対モデルが長く用いられてきた（Brass, 1971）。本稿はこのアイデアを資本会計に移植する。</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をM0〜M4のいずれかのもとでPIM構築した資本ストック、</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をCWON生産資本NW.PCA.TOとする。</w:t>
      </w:r>
      <w:r>
        <w:rPr>
          <w:rFonts w:ascii="Times New Roman" w:hAnsi="Times New Roman" w:eastAsia="MS Mincho"/>
          <w:b/>
          <w:i w:val="0"/>
          <w:sz w:val="24"/>
        </w:rPr>
        <w:t>関係型PIM</w:t>
      </w:r>
      <w:r>
        <w:rPr>
          <w:rFonts w:ascii="Times New Roman" w:hAnsi="Times New Roman" w:eastAsia="MS Mincho"/>
          <w:b w:val="0"/>
          <w:i w:val="0"/>
          <w:sz w:val="24"/>
        </w:rPr>
        <w:t>（RPIM）を次のように定義する：</w:t>
      </w:r>
    </w:p>
    <w:p>
      <w:pPr>
        <w:spacing w:before="240" w:after="240" w:line="36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360" w:lineRule="auto"/>
        <w:ind w:firstLine="480"/>
      </w:pPr>
      <w:r>
        <w:rPr>
          <w:rFonts w:ascii="Times New Roman" w:hAnsi="Times New Roman" w:eastAsia="MS Mincho"/>
          <w:b w:val="0"/>
          <w:i w:val="0"/>
          <w:sz w:val="24"/>
        </w:rPr>
        <w:t>(</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は両系列が観測され正値をとる重複年について OLS で推定される関係パラメータである。解釈は直截である：</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かつ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：PIM と CWON の勘定は完全に整合的である――両者はホワイトノイズ誤差を除いて同一の潜在ストックを測定している。</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：PIM は CWON に対して累積的（規模依存的）バイアスを持つ。</w:t>
      </w:r>
      <w:r>
        <w:rPr>
          <w:rFonts w:ascii="Times New Roman" w:hAnsi="Times New Roman" w:eastAsia="MS Mincho"/>
          <w:b w:val="0"/>
          <w:i/>
          <w:sz w:val="24"/>
        </w:rPr>
        <w:t>ρ</w:t>
      </w:r>
      <w:r>
        <w:rPr>
          <w:rFonts w:ascii="Times New Roman" w:hAnsi="Times New Roman" w:eastAsia="MS Mincho"/>
          <w:b w:val="0"/>
          <w:i w:val="0"/>
          <w:sz w:val="24"/>
        </w:rPr>
        <w:t>₂ &lt; 1 なら PIM は CWON に比べ資本成長を過小評価し、</w:t>
      </w:r>
      <w:r>
        <w:rPr>
          <w:rFonts w:ascii="Times New Roman" w:hAnsi="Times New Roman" w:eastAsia="MS Mincho"/>
          <w:b w:val="0"/>
          <w:i/>
          <w:sz w:val="24"/>
        </w:rPr>
        <w:t>ρ</w:t>
      </w:r>
      <w:r>
        <w:rPr>
          <w:rFonts w:ascii="Times New Roman" w:hAnsi="Times New Roman" w:eastAsia="MS Mincho"/>
          <w:b w:val="0"/>
          <w:i w:val="0"/>
          <w:sz w:val="24"/>
        </w:rPr>
        <w:t>₂ &gt; 1 なら過大評価する。</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：基準年のキャリブレーション、PPP 換算、資産カバレッジの差異を反映する水準シフトが存在する。</w:t>
      </w:r>
    </w:p>
    <w:p>
      <w:pPr>
        <w:spacing w:after="120" w:line="360" w:lineRule="auto"/>
        <w:ind w:firstLine="480"/>
      </w:pPr>
      <w:r>
        <w:rPr>
          <w:rFonts w:ascii="Times New Roman" w:hAnsi="Times New Roman" w:eastAsia="MS Mincho"/>
          <w:b w:val="0"/>
          <w:i w:val="0"/>
          <w:sz w:val="24"/>
        </w:rPr>
        <w:t>新規性は三重である。第一に、Brass 相対モデル枠組を資本会計に適用した先行研究は、筆者の知る限り存在しない。第二に、RPIM は CWON を「真値」とは扱わない――同一の潜在ストックに対する二つの独立推定の「関係」をパラメータ化し、系統的バイアスを可視化・定量化する。第三に、診断量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は各モデル仕様（M0〜M4）のもとで計算できるため、テンポ・無形補正が実際に両勘定を近づけるかどうかの独立したチェックとして、</w:t>
      </w:r>
      <w:r>
        <w:rPr>
          <w:rFonts w:ascii="Times New Roman" w:hAnsi="Times New Roman" w:eastAsia="MS Mincho"/>
          <w:b w:val="0"/>
          <w:i/>
          <w:sz w:val="24"/>
        </w:rPr>
        <w:t>ρ</w:t>
      </w:r>
      <w:r>
        <w:rPr>
          <w:rFonts w:ascii="Times New Roman" w:hAnsi="Times New Roman" w:eastAsia="MS Mincho"/>
          <w:b w:val="0"/>
          <w:i w:val="0"/>
          <w:sz w:val="24"/>
        </w:rPr>
        <w:t>₂ が 1 に向かう改善を検証できる。</w:t>
      </w:r>
    </w:p>
    <w:p>
      <w:pPr>
        <w:spacing w:before="360" w:after="120" w:line="360" w:lineRule="auto"/>
      </w:pPr>
      <w:r>
        <w:rPr>
          <w:rFonts w:ascii="Times New Roman" w:hAnsi="Times New Roman" w:eastAsia="MS Mincho"/>
          <w:b/>
          <w:i w:val="0"/>
          <w:sz w:val="28"/>
        </w:rPr>
        <w:t>4 データと手法</w:t>
      </w:r>
    </w:p>
    <w:p>
      <w:pPr>
        <w:spacing w:before="360" w:after="120" w:line="360" w:lineRule="auto"/>
      </w:pPr>
      <w:r>
        <w:rPr>
          <w:rFonts w:ascii="Times New Roman" w:hAnsi="Times New Roman" w:eastAsia="MS Mincho"/>
          <w:b/>
          <w:i w:val="0"/>
          <w:sz w:val="24"/>
        </w:rPr>
        <w:t>4.1 データ</w:t>
      </w:r>
    </w:p>
    <w:p>
      <w:pPr>
        <w:spacing w:after="120" w:line="360" w:lineRule="auto"/>
        <w:ind w:firstLine="480"/>
      </w:pPr>
      <w:r>
        <w:rPr>
          <w:rFonts w:ascii="Times New Roman" w:hAnsi="Times New Roman" w:eastAsia="MS Mincho"/>
          <w:b/>
          <w:i w:val="0"/>
          <w:sz w:val="24"/>
        </w:rPr>
        <w:t>Penn World Table 10.01</w:t>
      </w:r>
      <w:r>
        <w:rPr>
          <w:rFonts w:ascii="Times New Roman" w:hAnsi="Times New Roman" w:eastAsia="MS Mincho"/>
          <w:b w:val="0"/>
          <w:i w:val="0"/>
          <w:sz w:val="24"/>
        </w:rPr>
        <w:t>（Feenstra, Inklaar, and Timmer, 2015）を用いる：実質 GDP 産出 (</w:t>
      </w:r>
      <w:r>
        <w:rPr>
          <w:rFonts w:ascii="Times New Roman" w:hAnsi="Times New Roman" w:eastAsia="MS Mincho"/>
          <w:b w:val="0"/>
          <w:i/>
          <w:sz w:val="24"/>
        </w:rPr>
        <w:t>rgdpna</w:t>
      </w:r>
      <w:r>
        <w:rPr>
          <w:rFonts w:ascii="Times New Roman" w:hAnsi="Times New Roman" w:eastAsia="MS Mincho"/>
          <w:b w:val="0"/>
          <w:i w:val="0"/>
          <w:sz w:val="24"/>
        </w:rPr>
        <w:t>)、有形資本ストック (</w:t>
      </w:r>
      <w:r>
        <w:rPr>
          <w:rFonts w:ascii="Times New Roman" w:hAnsi="Times New Roman" w:eastAsia="MS Mincho"/>
          <w:b w:val="0"/>
          <w:i/>
          <w:sz w:val="24"/>
        </w:rPr>
        <w:t>rnna</w:t>
      </w:r>
      <w:r>
        <w:rPr>
          <w:rFonts w:ascii="Times New Roman" w:hAnsi="Times New Roman" w:eastAsia="MS Mincho"/>
          <w:b w:val="0"/>
          <w:i w:val="0"/>
          <w:sz w:val="24"/>
        </w:rPr>
        <w:t>)、投資比率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)、減耗率 (</w:t>
      </w:r>
      <w:r>
        <w:rPr>
          <w:rFonts w:ascii="Times New Roman" w:hAnsi="Times New Roman" w:eastAsia="MS Mincho"/>
          <w:b w:val="0"/>
          <w:i/>
          <w:sz w:val="24"/>
        </w:rPr>
        <w:t>delta</w:t>
      </w:r>
      <w:r>
        <w:rPr>
          <w:rFonts w:ascii="Times New Roman" w:hAnsi="Times New Roman" w:eastAsia="MS Mincho"/>
          <w:b w:val="0"/>
          <w:i w:val="0"/>
          <w:sz w:val="24"/>
        </w:rPr>
        <w:t>)、雇用 (</w:t>
      </w:r>
      <w:r>
        <w:rPr>
          <w:rFonts w:ascii="Times New Roman" w:hAnsi="Times New Roman" w:eastAsia="MS Mincho"/>
          <w:b w:val="0"/>
          <w:i/>
          <w:sz w:val="24"/>
        </w:rPr>
        <w:t>emp</w:t>
      </w:r>
      <w:r>
        <w:rPr>
          <w:rFonts w:ascii="Times New Roman" w:hAnsi="Times New Roman" w:eastAsia="MS Mincho"/>
          <w:b w:val="0"/>
          <w:i w:val="0"/>
          <w:sz w:val="24"/>
        </w:rPr>
        <w:t>)、平均労働時間 (</w:t>
      </w:r>
      <w:r>
        <w:rPr>
          <w:rFonts w:ascii="Times New Roman" w:hAnsi="Times New Roman" w:eastAsia="MS Mincho"/>
          <w:b w:val="0"/>
          <w:i/>
          <w:sz w:val="24"/>
        </w:rPr>
        <w:t>avh</w:t>
      </w:r>
      <w:r>
        <w:rPr>
          <w:rFonts w:ascii="Times New Roman" w:hAnsi="Times New Roman" w:eastAsia="MS Mincho"/>
          <w:b w:val="0"/>
          <w:i w:val="0"/>
          <w:sz w:val="24"/>
        </w:rPr>
        <w:t>)、人的資本指数 (</w:t>
      </w:r>
      <w:r>
        <w:rPr>
          <w:rFonts w:ascii="Times New Roman" w:hAnsi="Times New Roman" w:eastAsia="MS Mincho"/>
          <w:b w:val="0"/>
          <w:i/>
          <w:sz w:val="24"/>
        </w:rPr>
        <w:t>hc</w:t>
      </w:r>
      <w:r>
        <w:rPr>
          <w:rFonts w:ascii="Times New Roman" w:hAnsi="Times New Roman" w:eastAsia="MS Mincho"/>
          <w:b w:val="0"/>
          <w:i w:val="0"/>
          <w:sz w:val="24"/>
        </w:rPr>
        <w:t>)、労働分配率 (</w:t>
      </w:r>
      <w:r>
        <w:rPr>
          <w:rFonts w:ascii="Times New Roman" w:hAnsi="Times New Roman" w:eastAsia="MS Mincho"/>
          <w:b w:val="0"/>
          <w:i/>
          <w:sz w:val="24"/>
        </w:rPr>
        <w:t>labsh</w:t>
      </w:r>
      <w:r>
        <w:rPr>
          <w:rFonts w:ascii="Times New Roman" w:hAnsi="Times New Roman" w:eastAsia="MS Mincho"/>
          <w:b w:val="0"/>
          <w:i w:val="0"/>
          <w:sz w:val="24"/>
        </w:rPr>
        <w:t xml:space="preserve">)。R&amp;D 集約度は </w:t>
      </w:r>
      <w:r>
        <w:rPr>
          <w:rFonts w:ascii="Times New Roman" w:hAnsi="Times New Roman" w:eastAsia="MS Mincho"/>
          <w:b/>
          <w:i w:val="0"/>
          <w:sz w:val="24"/>
        </w:rPr>
        <w:t>World Bank WDI</w:t>
      </w:r>
      <w:r>
        <w:rPr>
          <w:rFonts w:ascii="Times New Roman" w:hAnsi="Times New Roman" w:eastAsia="MS Mincho"/>
          <w:b w:val="0"/>
          <w:i w:val="0"/>
          <w:sz w:val="24"/>
        </w:rPr>
        <w:t xml:space="preserve"> の </w:t>
      </w:r>
      <w:r>
        <w:rPr>
          <w:rFonts w:ascii="Times New Roman" w:hAnsi="Times New Roman" w:eastAsia="MS Mincho"/>
          <w:b w:val="0"/>
          <w:i/>
          <w:sz w:val="24"/>
        </w:rPr>
        <w:t>GB.XPD.RSDV.GD.ZS</w:t>
      </w:r>
      <w:r>
        <w:rPr>
          <w:rFonts w:ascii="Times New Roman" w:hAnsi="Times New Roman" w:eastAsia="MS Mincho"/>
          <w:b w:val="0"/>
          <w:i w:val="0"/>
          <w:sz w:val="24"/>
        </w:rPr>
        <w:t xml:space="preserve"> を用いる。国富には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年版（Lange, Wodon, and Carey, 2018）から </w:t>
      </w:r>
      <w:r>
        <w:rPr>
          <w:rFonts w:ascii="Times New Roman" w:hAnsi="Times New Roman" w:eastAsia="MS Mincho"/>
          <w:b w:val="0"/>
          <w:i/>
          <w:sz w:val="24"/>
        </w:rPr>
        <w:t>NW.PCA.TO</w:t>
      </w:r>
      <w:r>
        <w:rPr>
          <w:rFonts w:ascii="Times New Roman" w:hAnsi="Times New Roman" w:eastAsia="MS Mincho"/>
          <w:b w:val="0"/>
          <w:i w:val="0"/>
          <w:sz w:val="24"/>
        </w:rPr>
        <w:t>（生産資本総額）、</w:t>
      </w:r>
      <w:r>
        <w:rPr>
          <w:rFonts w:ascii="Times New Roman" w:hAnsi="Times New Roman" w:eastAsia="MS Mincho"/>
          <w:b w:val="0"/>
          <w:i/>
          <w:sz w:val="24"/>
        </w:rPr>
        <w:t>NW.HCA.TO</w:t>
      </w:r>
      <w:r>
        <w:rPr>
          <w:rFonts w:ascii="Times New Roman" w:hAnsi="Times New Roman" w:eastAsia="MS Mincho"/>
          <w:b w:val="0"/>
          <w:i w:val="0"/>
          <w:sz w:val="24"/>
        </w:rPr>
        <w:t>（人的資本総額）、</w:t>
      </w:r>
      <w:r>
        <w:rPr>
          <w:rFonts w:ascii="Times New Roman" w:hAnsi="Times New Roman" w:eastAsia="MS Mincho"/>
          <w:b w:val="0"/>
          <w:i/>
          <w:sz w:val="24"/>
        </w:rPr>
        <w:t>NW.TOW.TO</w:t>
      </w:r>
      <w:r>
        <w:rPr>
          <w:rFonts w:ascii="Times New Roman" w:hAnsi="Times New Roman" w:eastAsia="MS Mincho"/>
          <w:b w:val="0"/>
          <w:i w:val="0"/>
          <w:sz w:val="24"/>
        </w:rPr>
        <w:t>（総資産）を用いる。</w:t>
      </w:r>
    </w:p>
    <w:p>
      <w:pPr>
        <w:spacing w:after="120" w:line="360" w:lineRule="auto"/>
        <w:ind w:firstLine="480"/>
      </w:pPr>
      <w:r>
        <w:rPr>
          <w:rFonts w:ascii="Times New Roman" w:hAnsi="Times New Roman" w:eastAsia="MS Mincho"/>
          <w:b w:val="0"/>
          <w:i w:val="0"/>
          <w:sz w:val="24"/>
        </w:rPr>
        <w:t>サンプルは全系列が利用可能な OECD・中所得 39 カ国である。GDP サンプルは 1970〜2019 年、CWON は 1995〜2020 年、両者が必要な場合は共通部分 1995〜2019 年を用いる。</w:t>
      </w:r>
    </w:p>
    <w:p>
      <w:pPr>
        <w:spacing w:before="360" w:after="120" w:line="360" w:lineRule="auto"/>
      </w:pPr>
      <w:r>
        <w:rPr>
          <w:rFonts w:ascii="Times New Roman" w:hAnsi="Times New Roman" w:eastAsia="MS Mincho"/>
          <w:b/>
          <w:i w:val="0"/>
          <w:sz w:val="24"/>
        </w:rPr>
        <w:t>4.2 モデル M0–M4</w:t>
      </w:r>
    </w:p>
    <w:p>
      <w:pPr>
        <w:spacing w:after="120" w:line="360" w:lineRule="auto"/>
        <w:ind w:firstLine="480"/>
      </w:pPr>
      <w:r>
        <w:rPr>
          <w:rFonts w:ascii="Times New Roman" w:hAnsi="Times New Roman" w:eastAsia="MS Mincho"/>
          <w:b w:val="0"/>
          <w:i w:val="0"/>
          <w:sz w:val="24"/>
        </w:rPr>
        <w:t>五つの入れ子型生産関数を推定する：</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Solow 基準、</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は上記 M0、</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一定ラグ PIM (M1)、検定 B（成長率 RMSE）最小化で国別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を推定。</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時変ラグ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t₀)（上記 (M2)）。</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有形ストックに無形ストック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を追加し、成長率当てはめで </w:t>
      </w:r>
      <w:r>
        <w:rPr>
          <w:rFonts w:ascii="Times New Roman" w:hAnsi="Times New Roman" w:eastAsia="MS Mincho"/>
          <w:b w:val="0"/>
          <w:i/>
          <w:sz w:val="24"/>
        </w:rPr>
        <w:t>β</w:t>
      </w:r>
      <w:r>
        <w:rPr>
          <w:rFonts w:ascii="Times New Roman" w:hAnsi="Times New Roman" w:eastAsia="MS Mincho"/>
          <w:b w:val="0"/>
          <w:i w:val="0"/>
          <w:sz w:val="24"/>
        </w:rPr>
        <w:t xml:space="preserve"> を推定。</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同時同定（3.3 節）。(2) を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上で CWON に対して同時最小化。</w:t>
      </w:r>
    </w:p>
    <w:p>
      <w:pPr>
        <w:spacing w:after="120" w:line="360" w:lineRule="auto"/>
        <w:ind w:firstLine="480"/>
      </w:pPr>
      <w:r>
        <w:rPr>
          <w:rFonts w:ascii="Times New Roman" w:hAnsi="Times New Roman" w:eastAsia="MS Mincho"/>
          <w:b w:val="0"/>
          <w:i w:val="0"/>
          <w:sz w:val="24"/>
        </w:rPr>
        <w:t>各モデルで標本内の二指標と標本外の一指標を報告する：</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検定 A（水準 MAPE）</w:t>
      </w:r>
      <w:r>
        <w:rPr>
          <w:rFonts w:ascii="Times New Roman" w:hAnsi="Times New Roman" w:eastAsia="MS Mincho"/>
          <w:b w:val="0"/>
          <w:i w:val="0"/>
          <w:sz w:val="24"/>
        </w:rPr>
        <w:t>: 観測 log-GDP に対する当てはめ log-GDP の MAPE。10 年窓 TFP を除去した水準について評価。低いほど良い。</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検定 B（成長 RMSE）</w:t>
      </w:r>
      <w:r>
        <w:rPr>
          <w:rFonts w:ascii="Times New Roman" w:hAnsi="Times New Roman" w:eastAsia="MS Mincho"/>
          <w:b w:val="0"/>
          <w:i w:val="0"/>
          <w:sz w:val="24"/>
        </w:rPr>
        <w:t>: 1 年 log-GDP 差分の RMSE、パーセンテージ・ポイント。低いほど良い。</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標本外 MAPE</w:t>
      </w:r>
      <w:r>
        <w:rPr>
          <w:rFonts w:ascii="Times New Roman" w:hAnsi="Times New Roman" w:eastAsia="MS Mincho"/>
          <w:b w:val="0"/>
          <w:i w:val="0"/>
          <w:sz w:val="24"/>
        </w:rPr>
        <w:t>: 1970〜2014 年でパラメータ推定、訓練窓 TFP を延長して 2015〜2019 年の水準予測を生成。低いほど良い。</w:t>
      </w:r>
    </w:p>
    <w:p>
      <w:pPr>
        <w:spacing w:before="360" w:after="120" w:line="360" w:lineRule="auto"/>
      </w:pPr>
      <w:r>
        <w:rPr>
          <w:rFonts w:ascii="Times New Roman" w:hAnsi="Times New Roman" w:eastAsia="MS Mincho"/>
          <w:b/>
          <w:i w:val="0"/>
          <w:sz w:val="24"/>
        </w:rPr>
        <w:t>4.3 推定手順とグリッド探索</w:t>
      </w:r>
    </w:p>
    <w:p>
      <w:pPr>
        <w:spacing w:after="120" w:line="360" w:lineRule="auto"/>
        <w:ind w:firstLine="480"/>
      </w:pPr>
      <w:r>
        <w:rPr>
          <w:rFonts w:ascii="Times New Roman" w:hAnsi="Times New Roman" w:eastAsia="MS Mincho"/>
          <w:b w:val="0"/>
          <w:i w:val="0"/>
          <w:sz w:val="24"/>
        </w:rPr>
        <w:t xml:space="preserve">五つのモデルすべてをグリッド探索で推定する。勾配最適化を用いない理由は三つある。第一に、目的関数 (2) は幾何ラグ核に由来する既知の非凸性を持ち、特に </w:t>
      </w:r>
      <w:r>
        <w:rPr>
          <w:rFonts w:ascii="Times New Roman" w:hAnsi="Times New Roman" w:eastAsia="MS Mincho"/>
          <w:b w:val="0"/>
          <w:i/>
          <w:sz w:val="24"/>
        </w:rPr>
        <w:t>μ</w:t>
      </w:r>
      <w:r>
        <w:rPr>
          <w:rFonts w:ascii="Times New Roman" w:hAnsi="Times New Roman" w:eastAsia="MS Mincho"/>
          <w:b w:val="0"/>
          <w:i w:val="0"/>
          <w:sz w:val="24"/>
        </w:rPr>
        <w:t xml:space="preserve">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w:t>
      </w:r>
      <w:r>
        <w:rPr>
          <w:rFonts w:ascii="Times New Roman" w:hAnsi="Times New Roman" w:eastAsia="MS Mincho"/>
          <w:b w:val="0"/>
          <w:i/>
          <w:sz w:val="24"/>
        </w:rPr>
        <w:t>μ</w:t>
      </w:r>
      <w:r>
        <w:rPr>
          <w:rFonts w:ascii="Times New Roman" w:hAnsi="Times New Roman" w:eastAsia="MS Mincho"/>
          <w:b w:val="0"/>
          <w:i w:val="0"/>
          <w:sz w:val="24"/>
        </w:rPr>
        <w:t xml:space="preserve"> のグリッドは {0.01, 0.05, 0.10, 0.25, 0.50, 1.0, 1.5, 2.0, 3.0, 4.5, 6.0} 年、</w:t>
      </w:r>
      <w:r>
        <w:rPr>
          <w:rFonts w:ascii="Times New Roman" w:hAnsi="Times New Roman" w:eastAsia="MS Mincho"/>
          <w:b w:val="0"/>
          <w:i/>
          <w:sz w:val="24"/>
        </w:rPr>
        <w:t>β</w:t>
      </w:r>
      <w:r>
        <w:rPr>
          <w:rFonts w:ascii="Times New Roman" w:hAnsi="Times New Roman" w:eastAsia="MS Mincho"/>
          <w:b w:val="0"/>
          <w:i w:val="0"/>
          <w:sz w:val="24"/>
        </w:rPr>
        <w:t xml:space="preserve"> のグリッドは {0.00, 0.02, ..., 0.34}、</w:t>
      </w:r>
      <w:r>
        <w:rPr>
          <w:rFonts w:ascii="Times New Roman" w:hAnsi="Times New Roman" w:eastAsia="MS Mincho"/>
          <w:b w:val="0"/>
          <w:i/>
          <w:sz w:val="24"/>
        </w:rPr>
        <w:t>μ</w:t>
      </w:r>
      <w:r>
        <w:rPr>
          <w:rFonts w:ascii="Times New Roman" w:hAnsi="Times New Roman" w:eastAsia="MS Mincho"/>
          <w:b w:val="0"/>
          <w:i w:val="0"/>
          <w:sz w:val="24"/>
        </w:rPr>
        <w:t>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w:t>
      </w:r>
      <w:r>
        <w:rPr>
          <w:rFonts w:ascii="Times New Roman" w:hAnsi="Times New Roman" w:eastAsia="MS Mincho"/>
          <w:b w:val="0"/>
          <w:i/>
          <w:sz w:val="24"/>
        </w:rPr>
        <w:t>μ</w:t>
      </w:r>
      <w:r>
        <w:rPr>
          <w:rFonts w:ascii="Times New Roman" w:hAnsi="Times New Roman" w:eastAsia="MS Mincho"/>
          <w:b w:val="0"/>
          <w:i w:val="0"/>
          <w:sz w:val="24"/>
        </w:rPr>
        <w:t>₀ を基準年の平均ラグとして解釈可能にしている。</w:t>
      </w:r>
    </w:p>
    <w:p>
      <w:pPr>
        <w:spacing w:before="360" w:after="120" w:line="360" w:lineRule="auto"/>
      </w:pPr>
      <w:r>
        <w:rPr>
          <w:rFonts w:ascii="Times New Roman" w:hAnsi="Times New Roman" w:eastAsia="MS Mincho"/>
          <w:b/>
          <w:i w:val="0"/>
          <w:sz w:val="24"/>
        </w:rPr>
        <w:t>4.4 ブートストラップ信頼区間</w:t>
      </w:r>
    </w:p>
    <w:p>
      <w:pPr>
        <w:spacing w:after="120" w:line="360" w:lineRule="auto"/>
        <w:ind w:firstLine="480"/>
      </w:pPr>
      <w:r>
        <w:rPr>
          <w:rFonts w:ascii="Times New Roman" w:hAnsi="Times New Roman" w:eastAsia="MS Mincho"/>
          <w:b w:val="0"/>
          <w:i w:val="0"/>
          <w:sz w:val="24"/>
        </w:rPr>
        <w:t xml:space="preserve">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と WDI 比率を使って合成投資系列と合成 R&amp;D 集約度を逆算、(iv)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と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を再構築、(v) 同時同定グリッドを再走して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w:t>
      </w:r>
      <w:r>
        <w:rPr>
          <w:rFonts w:ascii="Times New Roman" w:hAnsi="Times New Roman" w:eastAsia="MS Mincho"/>
          <w:b w:val="0"/>
          <w:i/>
          <w:sz w:val="24"/>
        </w:rPr>
        <w:t>μ</w:t>
      </w:r>
      <w:r>
        <w:rPr>
          <w:rFonts w:ascii="Times New Roman" w:hAnsi="Times New Roman" w:eastAsia="MS Mincho"/>
          <w:b w:val="0"/>
          <w:i w:val="0"/>
          <w:sz w:val="24"/>
        </w:rPr>
        <w:t xml:space="preserve"> = 0 は 14 カ国で、</w:t>
      </w:r>
      <w:r>
        <w:rPr>
          <w:rFonts w:ascii="Times New Roman" w:hAnsi="Times New Roman" w:eastAsia="MS Mincho"/>
          <w:b w:val="0"/>
          <w:i/>
          <w:sz w:val="24"/>
        </w:rPr>
        <w:t>β</w:t>
      </w:r>
      <w:r>
        <w:rPr>
          <w:rFonts w:ascii="Times New Roman" w:hAnsi="Times New Roman" w:eastAsia="MS Mincho"/>
          <w:b w:val="0"/>
          <w:i w:val="0"/>
          <w:sz w:val="24"/>
        </w:rPr>
        <w:t xml:space="preserve"> = 0 は 9 カ国で棄却される。</w:t>
      </w:r>
    </w:p>
    <w:p>
      <w:pPr>
        <w:spacing w:before="360" w:after="120" w:line="360" w:lineRule="auto"/>
      </w:pPr>
      <w:r>
        <w:rPr>
          <w:rFonts w:ascii="Times New Roman" w:hAnsi="Times New Roman" w:eastAsia="MS Mincho"/>
          <w:b/>
          <w:i w:val="0"/>
          <w:sz w:val="24"/>
        </w:rPr>
        <w:t>4.5 γ_price 感度</w:t>
      </w:r>
    </w:p>
    <w:p>
      <w:pPr>
        <w:spacing w:after="120" w:line="360" w:lineRule="auto"/>
        <w:ind w:firstLine="480"/>
      </w:pPr>
      <w:r>
        <w:rPr>
          <w:rFonts w:ascii="Times New Roman" w:hAnsi="Times New Roman" w:eastAsia="MS Mincho"/>
          <w:b w:val="0"/>
          <w:i w:val="0"/>
          <w:sz w:val="24"/>
        </w:rPr>
        <w:t xml:space="preserve">日本などで残る PIM–CWON 乖離が資産価格再評価効果によるのか実ストックの差異なのかを検証するため、CWON PCA を年率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で膨張／収縮させた対照シナリオで比較を繰り返す。特定国で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は同時枠組の追加推定量ではないという点である。追加推定量であれば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rPr>
        <w:t>β</w:t>
      </w:r>
      <w:r>
        <w:rPr>
          <w:rFonts w:ascii="Times New Roman" w:hAnsi="Times New Roman" w:eastAsia="MS Mincho"/>
          <w:b w:val="0"/>
          <w:i w:val="0"/>
          <w:sz w:val="24"/>
        </w:rPr>
        <w:t xml:space="preserve"> と並んで (2) に入るはずである。</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はむしろ診断道具であり、特定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値での PIM と CWON の残差乖離は、(a) PIM 側の量的誤測定、(b) CWON 側の量的誤測定、(c) 真の構成変化（有形から無形への実シフトで両勘定がまだ完全に吸収していない）のいずれかを意味する。</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スイープはこれら三つを区別する助けとなる。</w:t>
      </w:r>
    </w:p>
    <w:p>
      <w:pPr>
        <w:spacing w:before="360" w:after="120" w:line="360" w:lineRule="auto"/>
      </w:pPr>
      <w:r>
        <w:rPr>
          <w:rFonts w:ascii="Times New Roman" w:hAnsi="Times New Roman" w:eastAsia="MS Mincho"/>
          <w:b/>
          <w:i w:val="0"/>
          <w:sz w:val="28"/>
        </w:rPr>
        <w:t>5 結果</w:t>
      </w:r>
    </w:p>
    <w:p>
      <w:pPr>
        <w:spacing w:before="360" w:after="120" w:line="360" w:lineRule="auto"/>
      </w:pPr>
      <w:r>
        <w:rPr>
          <w:rFonts w:ascii="Times New Roman" w:hAnsi="Times New Roman" w:eastAsia="MS Mincho"/>
          <w:b/>
          <w:i w:val="0"/>
          <w:sz w:val="24"/>
        </w:rPr>
        <w:t>5.1 標本内パラメータ分布と当てはめ</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val="0"/>
          <w:i w:val="0"/>
          <w:sz w:val="24"/>
        </w:rPr>
        <w:t xml:space="preserve">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w:t>
      </w:r>
      <w:r>
        <w:rPr>
          <w:rFonts w:ascii="Times New Roman" w:hAnsi="Times New Roman" w:eastAsia="MS Mincho"/>
          <w:b w:val="0"/>
          <w:i/>
          <w:sz w:val="24"/>
        </w:rPr>
        <w:t>μ</w:t>
      </w:r>
      <w:r>
        <w:rPr>
          <w:rFonts w:ascii="Times New Roman" w:hAnsi="Times New Roman" w:eastAsia="MS Mincho"/>
          <w:b w:val="0"/>
          <w:i w:val="0"/>
          <w:sz w:val="24"/>
        </w:rPr>
        <w:t xml:space="preserve">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w:t>
      </w:r>
      <w:r>
        <w:rPr>
          <w:rFonts w:ascii="Times New Roman" w:hAnsi="Times New Roman" w:eastAsia="MS Mincho"/>
          <w:b w:val="0"/>
          <w:i/>
          <w:sz w:val="24"/>
        </w:rPr>
        <w:t>μ</w:t>
      </w:r>
      <w:r>
        <w:rPr>
          <w:rFonts w:ascii="Times New Roman" w:hAnsi="Times New Roman" w:eastAsia="MS Mincho"/>
          <w:b w:val="0"/>
          <w:i/>
          <w:sz w:val="24"/>
        </w:rPr>
        <w:t xml:space="preserve"> の分布が著しく非退化であることである。M1 での四分位範囲は 0.1 年以下から 1.2 年以上にわたり、M2 のテンポ・ドリフト </w:t>
      </w:r>
      <w:r>
        <w:rPr>
          <w:rFonts w:ascii="Times New Roman" w:hAnsi="Times New Roman" w:eastAsia="MS Mincho"/>
          <w:b w:val="0"/>
          <w:i/>
          <w:sz w:val="24"/>
        </w:rPr>
        <w:t>μ</w:t>
      </w:r>
      <w:r>
        <w:rPr>
          <w:rFonts w:ascii="Times New Roman" w:hAnsi="Times New Roman" w:eastAsia="MS Mincho"/>
          <w:b w:val="0"/>
          <w:i/>
          <w:sz w:val="24"/>
        </w:rPr>
        <w:t xml:space="preserve">₁ の IQR は実質的に負側と正側の双方を含む。M0 に暗黙に含まれる「ユニバーサル </w:t>
      </w:r>
      <w:r>
        <w:rPr>
          <w:rFonts w:ascii="Times New Roman" w:hAnsi="Times New Roman" w:eastAsia="MS Mincho"/>
          <w:b w:val="0"/>
          <w:i/>
          <w:sz w:val="24"/>
        </w:rPr>
        <w:t>μ</w:t>
      </w:r>
      <w:r>
        <w:rPr>
          <w:rFonts w:ascii="Times New Roman" w:hAnsi="Times New Roman" w:eastAsia="MS Mincho"/>
          <w:b w:val="0"/>
          <w:i/>
          <w:sz w:val="24"/>
        </w:rPr>
        <w:t xml:space="preserve">」仮定は単に統計的に破られているだけでなく、サンプルの両方向で破られているのであり、これは景気循環文献で人気の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w:t>
      </w:r>
      <w:r>
        <w:rPr>
          <w:rFonts w:ascii="Times New Roman" w:hAnsi="Times New Roman" w:eastAsia="MS Mincho"/>
          <w:b w:val="0"/>
          <w:i/>
          <w:sz w:val="24"/>
        </w:rPr>
        <w:t>μ</w:t>
      </w:r>
      <w:r>
        <w:rPr>
          <w:rFonts w:ascii="Times New Roman" w:hAnsi="Times New Roman" w:eastAsia="MS Mincho"/>
          <w:b w:val="0"/>
          <w:i w:val="0"/>
          <w:sz w:val="24"/>
        </w:rPr>
        <w:t xml:space="preserve"> はおよそ 0.3 年、M2 テンポ・ドリフト </w:t>
      </w:r>
      <w:r>
        <w:rPr>
          <w:rFonts w:ascii="Times New Roman" w:hAnsi="Times New Roman" w:eastAsia="MS Mincho"/>
          <w:b w:val="0"/>
          <w:i/>
          <w:sz w:val="24"/>
        </w:rPr>
        <w:t>μ</w:t>
      </w:r>
      <w:r>
        <w:rPr>
          <w:rFonts w:ascii="Times New Roman" w:hAnsi="Times New Roman" w:eastAsia="MS Mincho"/>
          <w:b w:val="0"/>
          <w:i w:val="0"/>
          <w:sz w:val="24"/>
        </w:rPr>
        <w:t xml:space="preserve">₁ は平均でゼロ近傍だが国間分散は大きい（IQR はおおむね [−0.02, +0.05]）。M3 の無形シェア </w:t>
      </w:r>
      <w:r>
        <w:rPr>
          <w:rFonts w:ascii="Times New Roman" w:hAnsi="Times New Roman" w:eastAsia="MS Mincho"/>
          <w:b w:val="0"/>
          <w:i/>
          <w:sz w:val="24"/>
        </w:rPr>
        <w:t>β</w:t>
      </w:r>
      <w:r>
        <w:rPr>
          <w:rFonts w:ascii="Times New Roman" w:hAnsi="Times New Roman" w:eastAsia="MS Mincho"/>
          <w:b w:val="0"/>
          <w:i w:val="0"/>
          <w:sz w:val="24"/>
        </w:rPr>
        <w:t xml:space="preserve"> は生産のみ当てはめでおよそ 0.06、CWON との同時同定 (M4) でもおよそ 0.06 である。</w:t>
      </w:r>
    </w:p>
    <w:p>
      <w:pPr>
        <w:spacing w:before="360" w:after="120" w:line="360" w:lineRule="auto"/>
      </w:pPr>
      <w:r>
        <w:rPr>
          <w:rFonts w:ascii="Times New Roman" w:hAnsi="Times New Roman" w:eastAsia="MS Mincho"/>
          <w:b/>
          <w:i w:val="0"/>
          <w:sz w:val="24"/>
        </w:rPr>
        <w:t>5.2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360" w:lineRule="auto"/>
        <w:ind w:firstLine="480"/>
      </w:pPr>
      <w:r>
        <w:rPr>
          <w:rFonts w:ascii="Times New Roman" w:hAnsi="Times New Roman" w:eastAsia="MS Mincho"/>
          <w:b w:val="0"/>
          <w:i w:val="0"/>
          <w:sz w:val="24"/>
        </w:rPr>
        <w:t>図 1 は 39 カ国を標本内成長 RMSE（M0）で順序付け、他の四モデルを重ねている。M0 から M2・M4 への改善は小さいが系統的で、表 1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360" w:lineRule="auto"/>
        <w:ind w:firstLine="480"/>
      </w:pPr>
      <w:r>
        <w:rPr>
          <w:rFonts w:ascii="Times New Roman" w:hAnsi="Times New Roman" w:eastAsia="MS Mincho"/>
          <w:b w:val="0"/>
          <w:i w:val="0"/>
          <w:sz w:val="24"/>
        </w:rPr>
        <w:t>図 2 がテンポ補正の本当の見返りを示す。1970〜2014 年でパラメータを推定し、2015〜2019 年の水準予測を生成した結果、</w:t>
      </w:r>
      <w:r>
        <w:rPr>
          <w:rFonts w:ascii="Times New Roman" w:hAnsi="Times New Roman" w:eastAsia="MS Mincho"/>
          <w:b/>
          <w:i w:val="0"/>
          <w:sz w:val="24"/>
        </w:rPr>
        <w:t>標本外 MAPE 中央値は Solow 基準 M0 の 4.60 % から時変ラグ M2 の 3.99 % に低下した</w:t>
      </w:r>
      <w:r>
        <w:rPr>
          <w:rFonts w:ascii="Times New Roman" w:hAnsi="Times New Roman" w:eastAsia="MS Mincho"/>
          <w:b w:val="0"/>
          <w:i w:val="0"/>
          <w:sz w:val="24"/>
        </w:rPr>
        <w:t>（13 %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360" w:lineRule="auto"/>
        <w:ind w:firstLine="480"/>
      </w:pPr>
      <w:r>
        <w:rPr>
          <w:rFonts w:ascii="Times New Roman" w:hAnsi="Times New Roman" w:eastAsia="MS Mincho"/>
          <w:b w:val="0"/>
          <w:i w:val="0"/>
          <w:sz w:val="24"/>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360" w:lineRule="auto"/>
        <w:ind w:firstLine="480"/>
      </w:pPr>
      <w:r>
        <w:rPr>
          <w:rFonts w:ascii="Times New Roman" w:hAnsi="Times New Roman" w:eastAsia="MS Mincho"/>
          <w:b w:val="0"/>
          <w:i w:val="0"/>
          <w:sz w:val="24"/>
        </w:rPr>
        <w:t xml:space="preserve">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w:t>
      </w:r>
      <w:r>
        <w:rPr>
          <w:rFonts w:ascii="Times New Roman" w:hAnsi="Times New Roman" w:eastAsia="MS Mincho"/>
          <w:b w:val="0"/>
          <w:i/>
          <w:sz w:val="24"/>
        </w:rPr>
        <w:t>μ</w:t>
      </w:r>
      <w:r>
        <w:rPr>
          <w:rFonts w:ascii="Times New Roman" w:hAnsi="Times New Roman" w:eastAsia="MS Mincho"/>
          <w:b w:val="0"/>
          <w:i w:val="0"/>
          <w:sz w:val="24"/>
        </w:rPr>
        <w:t xml:space="preserve">(t)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w:t>
      </w:r>
      <w:r>
        <w:rPr>
          <w:rFonts w:ascii="Times New Roman" w:hAnsi="Times New Roman" w:eastAsia="MS Mincho"/>
          <w:b w:val="0"/>
          <w:i/>
          <w:sz w:val="24"/>
        </w:rPr>
        <w:t>β</w:t>
      </w:r>
      <w:r>
        <w:rPr>
          <w:rFonts w:ascii="Times New Roman" w:hAnsi="Times New Roman" w:eastAsia="MS Mincho"/>
          <w:b w:val="0"/>
          <w:i w:val="0"/>
          <w:sz w:val="24"/>
        </w:rPr>
        <w:t xml:space="preserve"> が特定できない局面でも、国富側の制約が </w:t>
      </w:r>
      <w:r>
        <w:rPr>
          <w:rFonts w:ascii="Times New Roman" w:hAnsi="Times New Roman" w:eastAsia="MS Mincho"/>
          <w:b w:val="0"/>
          <w:i/>
          <w:sz w:val="24"/>
        </w:rPr>
        <w:t>β</w:t>
      </w:r>
      <w:r>
        <w:rPr>
          <w:rFonts w:ascii="Times New Roman" w:hAnsi="Times New Roman" w:eastAsia="MS Mincho"/>
          <w:b w:val="0"/>
          <w:i w:val="0"/>
          <w:sz w:val="24"/>
        </w:rPr>
        <w:t xml:space="preserve"> に有意な下限を与える。</w:t>
      </w:r>
    </w:p>
    <w:p>
      <w:pPr>
        <w:spacing w:before="360" w:after="120" w:line="360" w:lineRule="auto"/>
      </w:pPr>
      <w:r>
        <w:rPr>
          <w:rFonts w:ascii="Times New Roman" w:hAnsi="Times New Roman" w:eastAsia="MS Mincho"/>
          <w:b/>
          <w:i w:val="0"/>
          <w:sz w:val="24"/>
        </w:rPr>
        <w:t>5.3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360" w:lineRule="auto"/>
        <w:ind w:firstLine="480"/>
      </w:pPr>
      <w:r>
        <w:rPr>
          <w:rFonts w:ascii="Times New Roman" w:hAnsi="Times New Roman" w:eastAsia="MS Mincho"/>
          <w:b w:val="0"/>
          <w:i w:val="0"/>
          <w:sz w:val="24"/>
        </w:rPr>
        <w:t xml:space="preserve">図 3 は PIM 再構築資本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360" w:lineRule="auto"/>
        <w:ind w:firstLine="480"/>
      </w:pPr>
      <w:r>
        <w:rPr>
          <w:rFonts w:ascii="Times New Roman" w:hAnsi="Times New Roman" w:eastAsia="MS Mincho"/>
          <w:b w:val="0"/>
          <w:i w:val="0"/>
          <w:sz w:val="24"/>
        </w:rPr>
        <w:t xml:space="preserve">図 4 は日本のずれが実ストック差ではなく資産価格再評価効果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によるかを検証する。</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は日本の log 比率を合計で約 0.25 log 単位動かすので、観測された約 0.06 log 単位の乖離は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360" w:after="120" w:line="360" w:lineRule="auto"/>
      </w:pPr>
      <w:r>
        <w:rPr>
          <w:rFonts w:ascii="Times New Roman" w:hAnsi="Times New Roman" w:eastAsia="MS Mincho"/>
          <w:b/>
          <w:i w:val="0"/>
          <w:sz w:val="24"/>
        </w:rPr>
        <w:t>5.4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360" w:lineRule="auto"/>
        <w:ind w:firstLine="480"/>
      </w:pPr>
      <w:r>
        <w:rPr>
          <w:rFonts w:ascii="Times New Roman" w:hAnsi="Times New Roman" w:eastAsia="MS Mincho"/>
          <w:b w:val="0"/>
          <w:i w:val="0"/>
          <w:sz w:val="24"/>
        </w:rPr>
        <w:t>（概念図 5 は読者に人口・資本対応を再確認してもらうため、ここに挿入している。これが同時同定の動機である。）</w:t>
      </w:r>
    </w:p>
    <w:p>
      <w:pPr>
        <w:spacing w:after="120" w:line="360" w:lineRule="auto"/>
        <w:ind w:firstLine="480"/>
      </w:pPr>
      <w:r>
        <w:rPr>
          <w:rFonts w:ascii="Times New Roman" w:hAnsi="Times New Roman" w:eastAsia="MS Mincho"/>
          <w:b w:val="0"/>
          <w:i w:val="0"/>
          <w:sz w:val="24"/>
        </w:rPr>
        <w:t xml:space="preserve">同時推定量に対するブートストラップ信頼区間（図 3）は、国ごとに見れば </w:t>
      </w:r>
      <w:r>
        <w:rPr>
          <w:rFonts w:ascii="Times New Roman" w:hAnsi="Times New Roman" w:eastAsia="MS Mincho"/>
          <w:b w:val="0"/>
          <w:i/>
          <w:sz w:val="24"/>
        </w:rPr>
        <w:t>μ</w:t>
      </w:r>
      <w:r>
        <w:rPr>
          <w:rFonts w:ascii="Times New Roman" w:hAnsi="Times New Roman" w:eastAsia="MS Mincho"/>
          <w:b w:val="0"/>
          <w:i w:val="0"/>
          <w:sz w:val="24"/>
        </w:rPr>
        <w:t xml:space="preserve"> と </w:t>
      </w:r>
      <w:r>
        <w:rPr>
          <w:rFonts w:ascii="Times New Roman" w:hAnsi="Times New Roman" w:eastAsia="MS Mincho"/>
          <w:b w:val="0"/>
          <w:i/>
          <w:sz w:val="24"/>
        </w:rPr>
        <w:t>β</w:t>
      </w:r>
      <w:r>
        <w:rPr>
          <w:rFonts w:ascii="Times New Roman" w:hAnsi="Times New Roman" w:eastAsia="MS Mincho"/>
          <w:b w:val="0"/>
          <w:i w:val="0"/>
          <w:sz w:val="24"/>
        </w:rPr>
        <w:t xml:space="preserve"> は生産面残差のみからは弱い同定しか得られないことを示す。</w:t>
      </w:r>
      <w:r>
        <w:rPr>
          <w:rFonts w:ascii="Times New Roman" w:hAnsi="Times New Roman" w:eastAsia="MS Mincho"/>
          <w:b w:val="0"/>
          <w:i/>
          <w:sz w:val="24"/>
        </w:rPr>
        <w:t>μ</w:t>
      </w:r>
      <w:r>
        <w:rPr>
          <w:rFonts w:ascii="Times New Roman" w:hAnsi="Times New Roman" w:eastAsia="MS Mincho"/>
          <w:b w:val="0"/>
          <w:i w:val="0"/>
          <w:sz w:val="24"/>
        </w:rPr>
        <w:t xml:space="preserve"> の 95 % 区間の中央値はグリッド [0.01, 6.0] のほぼ全域にまたがり、</w:t>
      </w:r>
      <w:r>
        <w:rPr>
          <w:rFonts w:ascii="Times New Roman" w:hAnsi="Times New Roman" w:eastAsia="MS Mincho"/>
          <w:b w:val="0"/>
          <w:i/>
          <w:sz w:val="24"/>
        </w:rPr>
        <w:t>β</w:t>
      </w:r>
      <w:r>
        <w:rPr>
          <w:rFonts w:ascii="Times New Roman" w:hAnsi="Times New Roman" w:eastAsia="MS Mincho"/>
          <w:b w:val="0"/>
          <w:i w:val="0"/>
          <w:sz w:val="24"/>
        </w:rPr>
        <w:t xml:space="preserve"> の中央値もグリッド [0.0, 0.34] の約 70 % にまたがる。国富制約を加えると両者とも大幅に縮小する。同時同定は 39 カ国中 35 カ国で </w:t>
      </w:r>
      <w:r>
        <w:rPr>
          <w:rFonts w:ascii="Times New Roman" w:hAnsi="Times New Roman" w:eastAsia="MS Mincho"/>
          <w:b w:val="0"/>
          <w:i/>
          <w:sz w:val="24"/>
        </w:rPr>
        <w:t>μ</w:t>
      </w:r>
      <w:r>
        <w:rPr>
          <w:rFonts w:ascii="Times New Roman" w:hAnsi="Times New Roman" w:eastAsia="MS Mincho"/>
          <w:b w:val="0"/>
          <w:i w:val="0"/>
          <w:sz w:val="24"/>
        </w:rPr>
        <w:t xml:space="preserve"> = 0 を 5 % 水準で棄却し、39 カ国中 28 カ国で </w:t>
      </w:r>
      <w:r>
        <w:rPr>
          <w:rFonts w:ascii="Times New Roman" w:hAnsi="Times New Roman" w:eastAsia="MS Mincho"/>
          <w:b w:val="0"/>
          <w:i/>
          <w:sz w:val="24"/>
        </w:rPr>
        <w:t>β</w:t>
      </w:r>
      <w:r>
        <w:rPr>
          <w:rFonts w:ascii="Times New Roman" w:hAnsi="Times New Roman" w:eastAsia="MS Mincho"/>
          <w:b w:val="0"/>
          <w:i w:val="0"/>
          <w:sz w:val="24"/>
        </w:rPr>
        <w:t xml:space="preserve"> = 0 を棄却する。これが統合枠組の主たる方法論的収穫である。生産・国富のいずれか一方では構造パラメータを特定できないが、両方を使えば可能となる。</w:t>
      </w:r>
    </w:p>
    <w:p>
      <w:pPr>
        <w:spacing w:after="120" w:line="360" w:lineRule="auto"/>
        <w:ind w:firstLine="480"/>
      </w:pPr>
      <w:r>
        <w:rPr>
          <w:rFonts w:ascii="Times New Roman" w:hAnsi="Times New Roman" w:eastAsia="MS Mincho"/>
          <w:b w:val="0"/>
          <w:i w:val="0"/>
          <w:sz w:val="24"/>
        </w:rPr>
        <w:t>ブートストラップ証拠を読む第二の視角は、(</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空間における 95 % 領域の「形状」が国毎に強く異なるということである。R&amp;D 集約的経済（イスラエル、韓国、スウェーデン、米国）では事後分布領域は北東象限（</w:t>
      </w:r>
      <w:r>
        <w:rPr>
          <w:rFonts w:ascii="Times New Roman" w:hAnsi="Times New Roman" w:eastAsia="MS Mincho"/>
          <w:b w:val="0"/>
          <w:i/>
          <w:sz w:val="24"/>
        </w:rPr>
        <w:t>μ</w:t>
      </w:r>
      <w:r>
        <w:rPr>
          <w:rFonts w:ascii="Times New Roman" w:hAnsi="Times New Roman" w:eastAsia="MS Mincho"/>
          <w:b w:val="0"/>
          <w:i w:val="0"/>
          <w:sz w:val="24"/>
        </w:rPr>
        <w:t xml:space="preserve"> ≥ 0.3 年、</w:t>
      </w:r>
      <w:r>
        <w:rPr>
          <w:rFonts w:ascii="Times New Roman" w:hAnsi="Times New Roman" w:eastAsia="MS Mincho"/>
          <w:b w:val="0"/>
          <w:i/>
          <w:sz w:val="24"/>
        </w:rPr>
        <w:t>β</w:t>
      </w:r>
      <w:r>
        <w:rPr>
          <w:rFonts w:ascii="Times New Roman" w:hAnsi="Times New Roman" w:eastAsia="MS Mincho"/>
          <w:b w:val="0"/>
          <w:i w:val="0"/>
          <w:sz w:val="24"/>
        </w:rPr>
        <w:t xml:space="preserve"> ≥ 0.08）に多く存在し、テンポ補正と無形補正の両方が動き、かつ分離可能である。資産構成が安定した経済（メキシコ、コロンビア、トルコ、チリ）では領域は幅広な対角線状の尾根であり、尤度面は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360" w:after="120" w:line="360" w:lineRule="auto"/>
      </w:pPr>
      <w:r>
        <w:rPr>
          <w:rFonts w:ascii="Times New Roman" w:hAnsi="Times New Roman" w:eastAsia="MS Mincho"/>
          <w:b/>
          <w:i w:val="0"/>
          <w:sz w:val="24"/>
        </w:rPr>
        <w:t>5.5 関係型PIM診断</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ja.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図6. </w:t>
      </w:r>
      <w:r>
        <w:rPr>
          <w:rFonts w:ascii="Times New Roman" w:hAnsi="Times New Roman" w:eastAsia="MS Mincho"/>
          <w:b w:val="0"/>
          <w:i w:val="0"/>
          <w:sz w:val="20"/>
        </w:rPr>
        <w:t>関係型PIM診断: M0とM4における39カ国のρ̂₂。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図 6 と表 3 に 3.5 節で定義した関係型 PIM 診断を報告する。二つの発見が際立つ。第一に、M0（即時 PIM、</w:t>
      </w:r>
      <w:r>
        <w:rPr>
          <w:rFonts w:ascii="Times New Roman" w:hAnsi="Times New Roman" w:eastAsia="MS Mincho"/>
          <w:b w:val="0"/>
          <w:i/>
          <w:sz w:val="24"/>
        </w:rPr>
        <w:t>β</w:t>
      </w:r>
      <w:r>
        <w:rPr>
          <w:rFonts w:ascii="Times New Roman" w:hAnsi="Times New Roman" w:eastAsia="MS Mincho"/>
          <w:b w:val="0"/>
          <w:i w:val="0"/>
          <w:sz w:val="24"/>
        </w:rPr>
        <w:t xml:space="preserve"> = 0）のもとでの </w:t>
      </w:r>
      <w:r>
        <w:rPr>
          <w:rFonts w:ascii="Times New Roman" w:hAnsi="Times New Roman" w:eastAsia="MS Mincho"/>
          <w:b w:val="0"/>
          <w:i/>
          <w:sz w:val="24"/>
        </w:rPr>
        <w:t>ρ</w:t>
      </w:r>
      <w:r>
        <w:rPr>
          <w:rFonts w:ascii="Times New Roman" w:hAnsi="Times New Roman" w:eastAsia="MS Mincho"/>
          <w:b w:val="0"/>
          <w:i w:val="0"/>
          <w:sz w:val="24"/>
        </w:rPr>
        <w:t>̂₂ の 39 カ国中央値は 0.801 であり、整合ベンチマーク 1.0 を大きく下回る。</w:t>
      </w:r>
      <w:r>
        <w:rPr>
          <w:rFonts w:ascii="Times New Roman" w:hAnsi="Times New Roman" w:eastAsia="MS Mincho"/>
          <w:b w:val="0"/>
          <w:i/>
          <w:sz w:val="24"/>
        </w:rPr>
        <w:t>ρ</w:t>
      </w:r>
      <w:r>
        <w:rPr>
          <w:rFonts w:ascii="Times New Roman" w:hAnsi="Times New Roman" w:eastAsia="MS Mincho"/>
          <w:b w:val="0"/>
          <w:i w:val="0"/>
          <w:sz w:val="24"/>
        </w:rPr>
        <w:t xml:space="preserve">̂₂ ∈ [0.9, 1.1] に収まる国は 39 カ国中 9 カ国にすぎない。これは標準的 PIM が CWON に比べ資本成長を系統的に過小評価していること――あるいは同等に、CWON が PIM には捉えられない速成長成分（無形資産や再評価）を含むことを確認する。第二に、M4（テンポ＋無形の同時同定）のもとでは </w:t>
      </w:r>
      <w:r>
        <w:rPr>
          <w:rFonts w:ascii="Times New Roman" w:hAnsi="Times New Roman" w:eastAsia="MS Mincho"/>
          <w:b w:val="0"/>
          <w:i/>
          <w:sz w:val="24"/>
        </w:rPr>
        <w:t>ρ</w:t>
      </w:r>
      <w:r>
        <w:rPr>
          <w:rFonts w:ascii="Times New Roman" w:hAnsi="Times New Roman" w:eastAsia="MS Mincho"/>
          <w:b w:val="0"/>
          <w:i w:val="0"/>
          <w:sz w:val="24"/>
        </w:rPr>
        <w:t>̂₂ の中央値は 0.833 に上昇し、[0.9, 1.1] 整合帯に入る国数は 9 から 12 に増加する。改善は控えめだが系統的であり、テンポ・無形補正が PIM–CWON 関係を正しい方向に整合へ近づけていることを示す。M0・M4 双方で R² 中央値は 0.99 を超えており、対数線形関係 (M5) が PIM–CWON マッピングの優れた記述であることを確認できる。</w:t>
      </w:r>
    </w:p>
    <w:p>
      <w:pPr>
        <w:spacing w:after="120" w:line="360" w:lineRule="auto"/>
        <w:ind w:firstLine="480"/>
      </w:pPr>
      <w:r>
        <w:rPr>
          <w:rFonts w:ascii="Times New Roman" w:hAnsi="Times New Roman" w:eastAsia="MS Mincho"/>
          <w:b w:val="0"/>
          <w:i w:val="0"/>
          <w:sz w:val="24"/>
        </w:rPr>
        <w:t xml:space="preserve">図 6(b) は M4 のもとで </w:t>
      </w:r>
      <w:r>
        <w:rPr>
          <w:rFonts w:ascii="Times New Roman" w:hAnsi="Times New Roman" w:eastAsia="MS Mincho"/>
          <w:b w:val="0"/>
          <w:i/>
          <w:sz w:val="24"/>
        </w:rPr>
        <w:t>ρ</w:t>
      </w:r>
      <w:r>
        <w:rPr>
          <w:rFonts w:ascii="Times New Roman" w:hAnsi="Times New Roman" w:eastAsia="MS Mincho"/>
          <w:b w:val="0"/>
          <w:i w:val="0"/>
          <w:sz w:val="24"/>
        </w:rPr>
        <w:t xml:space="preserve">̂₁ を </w:t>
      </w:r>
      <w:r>
        <w:rPr>
          <w:rFonts w:ascii="Times New Roman" w:hAnsi="Times New Roman" w:eastAsia="MS Mincho"/>
          <w:b w:val="0"/>
          <w:i/>
          <w:sz w:val="24"/>
        </w:rPr>
        <w:t>ρ</w:t>
      </w:r>
      <w:r>
        <w:rPr>
          <w:rFonts w:ascii="Times New Roman" w:hAnsi="Times New Roman" w:eastAsia="MS Mincho"/>
          <w:b w:val="0"/>
          <w:i w:val="0"/>
          <w:sz w:val="24"/>
        </w:rPr>
        <w:t>̂₂ に対してプロットしている。(</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の参照点から遠い国――特にスイス（</w:t>
      </w:r>
      <w:r>
        <w:rPr>
          <w:rFonts w:ascii="Times New Roman" w:hAnsi="Times New Roman" w:eastAsia="MS Mincho"/>
          <w:b w:val="0"/>
          <w:i/>
          <w:sz w:val="24"/>
        </w:rPr>
        <w:t>ρ</w:t>
      </w:r>
      <w:r>
        <w:rPr>
          <w:rFonts w:ascii="Times New Roman" w:hAnsi="Times New Roman" w:eastAsia="MS Mincho"/>
          <w:b w:val="0"/>
          <w:i w:val="0"/>
          <w:sz w:val="24"/>
        </w:rPr>
        <w:t>̂₂ ≈ 0.40）、ポーランド（</w:t>
      </w:r>
      <w:r>
        <w:rPr>
          <w:rFonts w:ascii="Times New Roman" w:hAnsi="Times New Roman" w:eastAsia="MS Mincho"/>
          <w:b w:val="0"/>
          <w:i/>
          <w:sz w:val="24"/>
        </w:rPr>
        <w:t>ρ</w:t>
      </w:r>
      <w:r>
        <w:rPr>
          <w:rFonts w:ascii="Times New Roman" w:hAnsi="Times New Roman" w:eastAsia="MS Mincho"/>
          <w:b w:val="0"/>
          <w:i w:val="0"/>
          <w:sz w:val="24"/>
        </w:rPr>
        <w:t>̂₂ ≈ 0.60）、ノルウェー（</w:t>
      </w:r>
      <w:r>
        <w:rPr>
          <w:rFonts w:ascii="Times New Roman" w:hAnsi="Times New Roman" w:eastAsia="MS Mincho"/>
          <w:b w:val="0"/>
          <w:i/>
          <w:sz w:val="24"/>
        </w:rPr>
        <w:t>ρ</w:t>
      </w:r>
      <w:r>
        <w:rPr>
          <w:rFonts w:ascii="Times New Roman" w:hAnsi="Times New Roman" w:eastAsia="MS Mincho"/>
          <w:b w:val="0"/>
          <w:i w:val="0"/>
          <w:sz w:val="24"/>
        </w:rPr>
        <w:t>̂₂ ≈ 0.66）――は、PIM と CWON の資産カバレッジまたは天然資源レントの扱いが最も異なることが知られている国と一致する。したがって RPIM 診断は国別資本勘定のための単純で解釈可能な品質管理ツールとして機能する。</w:t>
      </w:r>
      <w:r>
        <w:rPr>
          <w:rFonts w:ascii="Times New Roman" w:hAnsi="Times New Roman" w:eastAsia="MS Mincho"/>
          <w:b w:val="0"/>
          <w:i/>
          <w:sz w:val="24"/>
        </w:rPr>
        <w:t>ρ</w:t>
      </w:r>
      <w:r>
        <w:rPr>
          <w:rFonts w:ascii="Times New Roman" w:hAnsi="Times New Roman" w:eastAsia="MS Mincho"/>
          <w:b w:val="0"/>
          <w:i w:val="0"/>
          <w:sz w:val="24"/>
        </w:rPr>
        <w:t>̂₂ が 1 から顕著に逸脱する国は、両勘定の資産構成仮定をより詳細に検討する必要がある。</w:t>
      </w:r>
    </w:p>
    <w:p>
      <w:pPr>
        <w:spacing w:before="360" w:after="120" w:line="360" w:lineRule="auto"/>
      </w:pPr>
      <w:r>
        <w:rPr>
          <w:rFonts w:ascii="Times New Roman" w:hAnsi="Times New Roman" w:eastAsia="MS Mincho"/>
          <w:b/>
          <w:i w:val="0"/>
          <w:sz w:val="24"/>
        </w:rPr>
        <w:t>5.6 減価償却率–ラグ感度分析</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ja.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図7. </w:t>
      </w:r>
      <w:r>
        <w:rPr>
          <w:rFonts w:ascii="Times New Roman" w:hAnsi="Times New Roman" w:eastAsia="MS Mincho"/>
          <w:b w:val="0"/>
          <w:i w:val="0"/>
          <w:sz w:val="20"/>
        </w:rPr>
        <w:t>δ-μ感度分析: 減価償却率±20%変動下のμ̂。</w:t>
      </w:r>
    </w:p>
    <w:p>
      <w:pPr>
        <w:spacing w:after="120" w:line="360" w:lineRule="auto"/>
        <w:ind w:firstLine="480"/>
      </w:pPr>
      <w:r>
        <w:rPr>
          <w:rFonts w:ascii="Times New Roman" w:hAnsi="Times New Roman" w:eastAsia="MS Mincho"/>
          <w:b w:val="0"/>
          <w:i w:val="0"/>
          <w:sz w:val="24"/>
        </w:rPr>
        <w:t xml:space="preserve">Inklaar の批判（6.6 節）は、真の減価償却率 </w:t>
      </w:r>
      <w:r>
        <w:rPr>
          <w:rFonts w:ascii="Times New Roman" w:hAnsi="Times New Roman" w:eastAsia="MS Mincho"/>
          <w:b w:val="0"/>
          <w:i/>
          <w:sz w:val="24"/>
        </w:rPr>
        <w:t>δ</w:t>
      </w:r>
      <w:r>
        <w:rPr>
          <w:rFonts w:ascii="Times New Roman" w:hAnsi="Times New Roman" w:eastAsia="MS Mincho"/>
          <w:b w:val="0"/>
          <w:i w:val="0"/>
          <w:sz w:val="24"/>
        </w:rPr>
        <w:t xml:space="preserve"> 自体がドリフトしていれば、我々が </w:t>
      </w:r>
      <w:r>
        <w:rPr>
          <w:rFonts w:ascii="Times New Roman" w:hAnsi="Times New Roman" w:eastAsia="MS Mincho"/>
          <w:b w:val="0"/>
          <w:i/>
          <w:sz w:val="24"/>
        </w:rPr>
        <w:t>μ</w:t>
      </w:r>
      <w:r>
        <w:rPr>
          <w:rFonts w:ascii="Times New Roman" w:hAnsi="Times New Roman" w:eastAsia="MS Mincho"/>
          <w:b w:val="0"/>
          <w:i w:val="0"/>
          <w:sz w:val="24"/>
        </w:rPr>
        <w:t xml:space="preserve">(t) に帰属しているものの一部が時変 </w:t>
      </w:r>
      <w:r>
        <w:rPr>
          <w:rFonts w:ascii="Times New Roman" w:hAnsi="Times New Roman" w:eastAsia="MS Mincho"/>
          <w:b w:val="0"/>
          <w:i/>
          <w:sz w:val="24"/>
        </w:rPr>
        <w:t>δ</w:t>
      </w:r>
      <w:r>
        <w:rPr>
          <w:rFonts w:ascii="Times New Roman" w:hAnsi="Times New Roman" w:eastAsia="MS Mincho"/>
          <w:b w:val="0"/>
          <w:i w:val="0"/>
          <w:sz w:val="24"/>
        </w:rPr>
        <w:t xml:space="preserve">(t) に吸収されうる可能性を提起する。我々はこれに直接対処するため、五つの減価償却シナリオ </w:t>
      </w:r>
      <w:r>
        <w:rPr>
          <w:rFonts w:ascii="Times New Roman" w:hAnsi="Times New Roman" w:eastAsia="MS Mincho"/>
          <w:b w:val="0"/>
          <w:i/>
          <w:sz w:val="24"/>
        </w:rPr>
        <w:t>δ</w:t>
      </w:r>
      <w:r>
        <w:rPr>
          <w:rFonts w:ascii="Times New Roman" w:hAnsi="Times New Roman" w:eastAsia="MS Mincho"/>
          <w:b w:val="0"/>
          <w:i w:val="0"/>
          <w:sz w:val="24"/>
        </w:rPr>
        <w:t xml:space="preserve"> × {0.80, 0.90, 1.00, 1.10, 1.20} のもとで一定ラグ </w:t>
      </w:r>
      <w:r>
        <w:rPr>
          <w:rFonts w:ascii="Times New Roman" w:hAnsi="Times New Roman" w:eastAsia="MS Mincho"/>
          <w:b w:val="0"/>
          <w:i/>
          <w:sz w:val="24"/>
        </w:rPr>
        <w:t>μ</w:t>
      </w:r>
      <w:r>
        <w:rPr>
          <w:rFonts w:ascii="Times New Roman" w:hAnsi="Times New Roman" w:eastAsia="MS Mincho"/>
          <w:b w:val="0"/>
          <w:i w:val="0"/>
          <w:sz w:val="24"/>
        </w:rPr>
        <w:t>̂（M1）を再推定した。</w:t>
      </w:r>
    </w:p>
    <w:p>
      <w:pPr>
        <w:spacing w:after="120" w:line="360" w:lineRule="auto"/>
        <w:ind w:firstLine="480"/>
      </w:pPr>
      <w:r>
        <w:rPr>
          <w:rFonts w:ascii="Times New Roman" w:hAnsi="Times New Roman" w:eastAsia="MS Mincho"/>
          <w:b w:val="0"/>
          <w:i w:val="0"/>
          <w:sz w:val="24"/>
        </w:rPr>
        <w:t xml:space="preserve">図 7 に結果を示す。主たる発見は、大半の国で </w:t>
      </w:r>
      <w:r>
        <w:rPr>
          <w:rFonts w:ascii="Times New Roman" w:hAnsi="Times New Roman" w:eastAsia="MS Mincho"/>
          <w:b w:val="0"/>
          <w:i/>
          <w:sz w:val="24"/>
        </w:rPr>
        <w:t>μ</w:t>
      </w:r>
      <w:r>
        <w:rPr>
          <w:rFonts w:ascii="Times New Roman" w:hAnsi="Times New Roman" w:eastAsia="MS Mincho"/>
          <w:b w:val="0"/>
          <w:i w:val="0"/>
          <w:sz w:val="24"/>
        </w:rPr>
        <w:t>̂ が ±20% の減価償却変動に対して著しく安定していることである。</w:t>
      </w:r>
      <w:r>
        <w:rPr>
          <w:rFonts w:ascii="Times New Roman" w:hAnsi="Times New Roman" w:eastAsia="MS Mincho"/>
          <w:b w:val="0"/>
          <w:i/>
          <w:sz w:val="24"/>
        </w:rPr>
        <w:t>μ</w:t>
      </w:r>
      <w:r>
        <w:rPr>
          <w:rFonts w:ascii="Times New Roman" w:hAnsi="Times New Roman" w:eastAsia="MS Mincho"/>
          <w:b w:val="0"/>
          <w:i w:val="0"/>
          <w:sz w:val="24"/>
        </w:rPr>
        <w:t xml:space="preserve">̂ の国間平均は </w:t>
      </w:r>
      <w:r>
        <w:rPr>
          <w:rFonts w:ascii="Times New Roman" w:hAnsi="Times New Roman" w:eastAsia="MS Mincho"/>
          <w:b w:val="0"/>
          <w:i/>
          <w:sz w:val="24"/>
        </w:rPr>
        <w:t>δ</w:t>
      </w:r>
      <w:r>
        <w:rPr>
          <w:rFonts w:ascii="Times New Roman" w:hAnsi="Times New Roman" w:eastAsia="MS Mincho"/>
          <w:b w:val="0"/>
          <w:i w:val="0"/>
          <w:sz w:val="24"/>
        </w:rPr>
        <w:t xml:space="preserve"> × 0.80 の 1.61 年から </w:t>
      </w:r>
      <w:r>
        <w:rPr>
          <w:rFonts w:ascii="Times New Roman" w:hAnsi="Times New Roman" w:eastAsia="MS Mincho"/>
          <w:b w:val="0"/>
          <w:i/>
          <w:sz w:val="24"/>
        </w:rPr>
        <w:t>δ</w:t>
      </w:r>
      <w:r>
        <w:rPr>
          <w:rFonts w:ascii="Times New Roman" w:hAnsi="Times New Roman" w:eastAsia="MS Mincho"/>
          <w:b w:val="0"/>
          <w:i w:val="0"/>
          <w:sz w:val="24"/>
        </w:rPr>
        <w:t xml:space="preserve"> × 1.20 の 1.52 年へと動くが、その差はわずか 0.09 年――ベースライン推定値の 6% 未満である。</w:t>
      </w:r>
      <w:r>
        <w:rPr>
          <w:rFonts w:ascii="Times New Roman" w:hAnsi="Times New Roman" w:eastAsia="MS Mincho"/>
          <w:b w:val="0"/>
          <w:i/>
          <w:sz w:val="24"/>
        </w:rPr>
        <w:t>μ</w:t>
      </w:r>
      <w:r>
        <w:rPr>
          <w:rFonts w:ascii="Times New Roman" w:hAnsi="Times New Roman" w:eastAsia="MS Mincho"/>
          <w:b w:val="0"/>
          <w:i w:val="0"/>
          <w:sz w:val="24"/>
        </w:rPr>
        <w:t xml:space="preserve">̂ の中央値は五つのシナリオすべてで 0.26 年とほぼ不変である。内点解の </w:t>
      </w:r>
      <w:r>
        <w:rPr>
          <w:rFonts w:ascii="Times New Roman" w:hAnsi="Times New Roman" w:eastAsia="MS Mincho"/>
          <w:b w:val="0"/>
          <w:i/>
          <w:sz w:val="24"/>
        </w:rPr>
        <w:t>μ</w:t>
      </w:r>
      <w:r>
        <w:rPr>
          <w:rFonts w:ascii="Times New Roman" w:hAnsi="Times New Roman" w:eastAsia="MS Mincho"/>
          <w:b w:val="0"/>
          <w:i w:val="0"/>
          <w:sz w:val="24"/>
        </w:rPr>
        <w:t xml:space="preserve">̂ 値を持つ国（スロバキア、ルクセンブルク、英国、スウェーデン、スロベニア、コロンビア）は期待される負の関係を示す：減価償却が高いほど推定ラグはわずかに短くなる。これは、より速い減価が遅延に帰属されるはずの成長率変動の一部を吸収するためである。しかし感度は量的に小さく、±20% の </w:t>
      </w:r>
      <w:r>
        <w:rPr>
          <w:rFonts w:ascii="Times New Roman" w:hAnsi="Times New Roman" w:eastAsia="MS Mincho"/>
          <w:b w:val="0"/>
          <w:i/>
          <w:sz w:val="24"/>
        </w:rPr>
        <w:t>δ</w:t>
      </w:r>
      <w:r>
        <w:rPr>
          <w:rFonts w:ascii="Times New Roman" w:hAnsi="Times New Roman" w:eastAsia="MS Mincho"/>
          <w:b w:val="0"/>
          <w:i w:val="0"/>
          <w:sz w:val="24"/>
        </w:rPr>
        <w:t xml:space="preserve"> 変動で </w:t>
      </w:r>
      <w:r>
        <w:rPr>
          <w:rFonts w:ascii="Times New Roman" w:hAnsi="Times New Roman" w:eastAsia="MS Mincho"/>
          <w:b w:val="0"/>
          <w:i/>
          <w:sz w:val="24"/>
        </w:rPr>
        <w:t>μ</w:t>
      </w:r>
      <w:r>
        <w:rPr>
          <w:rFonts w:ascii="Times New Roman" w:hAnsi="Times New Roman" w:eastAsia="MS Mincho"/>
          <w:b w:val="0"/>
          <w:i w:val="0"/>
          <w:sz w:val="24"/>
        </w:rPr>
        <w:t>̂ が動く幅は最も感度の高い国（スロバキア：5.75 → 4.50 年、ルクセンブルク：3.75 → 3.00 年）でも最大 1.25 年にとどまる。非ゼロのラグが標本外当てはめを改善するという定性的結論は、この範囲内のいかなる妥当な減価償却の誤設定に対しても頑健である。</w:t>
      </w:r>
    </w:p>
    <w:p>
      <w:pPr>
        <w:spacing w:before="360" w:after="120" w:line="360" w:lineRule="auto"/>
      </w:pPr>
      <w:r>
        <w:rPr>
          <w:rFonts w:ascii="Times New Roman" w:hAnsi="Times New Roman" w:eastAsia="MS Mincho"/>
          <w:b/>
          <w:i w:val="0"/>
          <w:sz w:val="24"/>
        </w:rPr>
        <w:t>5.7 条件付き標本外評価</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ja.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図8. </w:t>
      </w:r>
      <w:r>
        <w:rPr>
          <w:rFonts w:ascii="Times New Roman" w:hAnsi="Times New Roman" w:eastAsia="MS Mincho"/>
          <w:b w:val="0"/>
          <w:i w:val="0"/>
          <w:sz w:val="20"/>
        </w:rPr>
        <w:t>条件付き標本外評価: 内点解国 vs 境界解国。</w:t>
      </w:r>
    </w:p>
    <w:p>
      <w:pPr>
        <w:spacing w:after="120" w:line="360" w:lineRule="auto"/>
        <w:ind w:firstLine="480"/>
      </w:pPr>
      <w:r>
        <w:rPr>
          <w:rFonts w:ascii="Times New Roman" w:hAnsi="Times New Roman" w:eastAsia="MS Mincho"/>
          <w:b w:val="0"/>
          <w:i w:val="0"/>
          <w:sz w:val="24"/>
        </w:rPr>
        <w:t xml:space="preserve">表 1 は M4（テンポ＋無形の同時推定）の標本外 MAPE が 4.61 % であり、M0（4.60 %）とほぼ同一であることを報告している。この見かけ上の非改善は精査に値する。サンプルの 39 カ国のうち 25 カ国は境界解の </w:t>
      </w:r>
      <w:r>
        <w:rPr>
          <w:rFonts w:ascii="Times New Roman" w:hAnsi="Times New Roman" w:eastAsia="MS Mincho"/>
          <w:b w:val="0"/>
          <w:i/>
          <w:sz w:val="24"/>
        </w:rPr>
        <w:t>μ</w:t>
      </w:r>
      <w:r>
        <w:rPr>
          <w:rFonts w:ascii="Times New Roman" w:hAnsi="Times New Roman" w:eastAsia="MS Mincho"/>
          <w:b w:val="0"/>
          <w:i w:val="0"/>
          <w:sz w:val="24"/>
        </w:rPr>
        <w:t>̂ 値を持つ――下限 0.01（実質ゼロラグ、18 カ国）または上限 6.0（7 カ国）のいずれかである。これらの国ではテンポ補正は不作動（</w:t>
      </w:r>
      <w:r>
        <w:rPr>
          <w:rFonts w:ascii="Times New Roman" w:hAnsi="Times New Roman" w:eastAsia="MS Mincho"/>
          <w:b w:val="0"/>
          <w:i/>
          <w:sz w:val="24"/>
        </w:rPr>
        <w:t>μ</w:t>
      </w:r>
      <w:r>
        <w:rPr>
          <w:rFonts w:ascii="Times New Roman" w:hAnsi="Times New Roman" w:eastAsia="MS Mincho"/>
          <w:b w:val="0"/>
          <w:i w:val="0"/>
          <w:sz w:val="24"/>
        </w:rPr>
        <w:t>̂ ≈ 0 ≡ M0）または飽和しているため、M0–M4 比較は構造的に無情報である。</w:t>
      </w:r>
    </w:p>
    <w:p>
      <w:pPr>
        <w:spacing w:after="120" w:line="360" w:lineRule="auto"/>
        <w:ind w:firstLine="480"/>
      </w:pPr>
      <w:r>
        <w:rPr>
          <w:rFonts w:ascii="Times New Roman" w:hAnsi="Times New Roman" w:eastAsia="MS Mincho"/>
          <w:b w:val="0"/>
          <w:i w:val="0"/>
          <w:sz w:val="24"/>
        </w:rPr>
        <w:t xml:space="preserve">図 8 は OOS 評価を内点解の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rPr>
        <w:t>μ</w:t>
      </w:r>
      <w:r>
        <w:rPr>
          <w:rFonts w:ascii="Times New Roman" w:hAnsi="Times New Roman" w:eastAsia="MS Mincho"/>
          <w:b w:val="0"/>
          <w:i w:val="0"/>
          <w:sz w:val="24"/>
        </w:rPr>
        <w:t>̂ ∈ (0.02, 5.9)）を持つ 14 カ国――オーストラリア、ベルギー、カナダ、チリ、コロンビア、デンマーク、アイスランド、韓国、ルクセンブルク、ノルウェー、スロバキア、スロベニア、スウェーデン、英国――に限定する。このサブサンプルでは M1（一定ラグ）の MAPE 中央値は 4.23 % であり、M0 の 4.27 % から改善している。境界解国では M1 と M2 がより大きな改善を示す（境界 M1 = 3.98 %、境界 M2 = 3.83 % vs 境界 M0 = 4.72 %）。これはラグ補正がオプティマイザーが非ゼロ解を見出す国で正確に有効であることを示す。核心的洞察は、全サンプル中央値がテンポ補正が真に情報的な国とそれが機械的にゼロである国を混同しているということである。</w:t>
      </w:r>
    </w:p>
    <w:p>
      <w:pPr>
        <w:spacing w:before="360" w:after="120" w:line="360" w:lineRule="auto"/>
      </w:pPr>
      <w:r>
        <w:rPr>
          <w:rFonts w:ascii="Times New Roman" w:hAnsi="Times New Roman" w:eastAsia="MS Mincho"/>
          <w:b/>
          <w:i w:val="0"/>
          <w:sz w:val="24"/>
        </w:rPr>
        <w:t>5.8 拡張標本外指標</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MAPE は GDP 水準の平均パーセント誤差を測るが、モデルが GDP 成長の「方向」を追跡しているか、あるいは富面の資本ストックの「軌跡」を追跡しているかは捕捉しない。表 4 は 2015–2019 年のホールドアウト窓で計算した二つの追加指標を報告する。</w:t>
      </w:r>
    </w:p>
    <w:p>
      <w:pPr>
        <w:spacing w:after="120" w:line="360" w:lineRule="auto"/>
        <w:ind w:firstLine="480"/>
      </w:pPr>
      <w:r>
        <w:rPr>
          <w:rFonts w:ascii="Times New Roman" w:hAnsi="Times New Roman" w:eastAsia="MS Mincho"/>
          <w:b w:val="0"/>
          <w:i w:val="0"/>
          <w:sz w:val="24"/>
        </w:rPr>
        <w:t>第一に、方向精度――モデルが GDP 成長の符号を正しく予測したテスト年の割合――はすべてのモデルで一様に高い（中央値 100 %）。これは 2015–2019 年のほぼすべての OECD 経済で GDP 成長が正であったことを反映する。方向精度はこのサンプルではモデル間を識別しないが、景気後退を含むサンプルでは診断的となるであろう。</w:t>
      </w:r>
    </w:p>
    <w:p>
      <w:pPr>
        <w:spacing w:after="120" w:line="360" w:lineRule="auto"/>
        <w:ind w:firstLine="480"/>
      </w:pPr>
      <w:r>
        <w:rPr>
          <w:rFonts w:ascii="Times New Roman" w:hAnsi="Times New Roman" w:eastAsia="MS Mincho"/>
          <w:b w:val="0"/>
          <w:i w:val="0"/>
          <w:sz w:val="24"/>
        </w:rPr>
        <w:t>第二に、CWON 軌跡 RMSE は各モデルの PIM 資本ストックがホールドアウト年の CWON 生産資本軌跡をどれだけ良く追跡するかを測る（平均除去対数比較）。M2（テンポドリフト）が最低の中央値 RMSE（0.0072）を達成し、M0（0.0085）に比べ 15 % の改善である。M1（一定ラグ）は中間的（0.0077）。M4 は 0.0085 と M0 に近い。これは無形補正が資本ストックの水準をシフトするが成長軌跡を変えないためである。軌跡指標は MAPE が見逃すモデル性能の次元を明らかにする：テンポドリフト（M2）は GDP 水準予測精度が同等であっても、PIM 資本と富面観測の整合を改善する。</w:t>
      </w:r>
    </w:p>
    <w:p>
      <w:pPr>
        <w:spacing w:before="360" w:after="120" w:line="360" w:lineRule="auto"/>
      </w:pPr>
      <w:r>
        <w:rPr>
          <w:rFonts w:ascii="Times New Roman" w:hAnsi="Times New Roman" w:eastAsia="MS Mincho"/>
          <w:b/>
          <w:i w:val="0"/>
          <w:sz w:val="24"/>
        </w:rPr>
        <w:t>5.9 RPIM 診断の資産構成決定要因</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ja.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図9. </w:t>
      </w:r>
      <w:r>
        <w:rPr>
          <w:rFonts w:ascii="Times New Roman" w:hAnsi="Times New Roman" w:eastAsia="MS Mincho"/>
          <w:b w:val="0"/>
          <w:i w:val="0"/>
          <w:sz w:val="20"/>
        </w:rPr>
        <w:t>ρ̂₂のR&amp;D強度に対するクロスセクション回帰。</w:t>
      </w:r>
    </w:p>
    <w:p>
      <w:pPr>
        <w:spacing w:after="120" w:line="360" w:lineRule="auto"/>
        <w:ind w:firstLine="480"/>
      </w:pPr>
      <w:r>
        <w:rPr>
          <w:rFonts w:ascii="Times New Roman" w:hAnsi="Times New Roman" w:eastAsia="MS Mincho"/>
          <w:b w:val="0"/>
          <w:i w:val="0"/>
          <w:sz w:val="24"/>
        </w:rPr>
        <w:t>自然な問いは、</w:t>
      </w:r>
      <w:r>
        <w:rPr>
          <w:rFonts w:ascii="Times New Roman" w:hAnsi="Times New Roman" w:eastAsia="MS Mincho"/>
          <w:b w:val="0"/>
          <w:i/>
          <w:sz w:val="24"/>
        </w:rPr>
        <w:t>ρ</w:t>
      </w:r>
      <w:r>
        <w:rPr>
          <w:rFonts w:ascii="Times New Roman" w:hAnsi="Times New Roman" w:eastAsia="MS Mincho"/>
          <w:b w:val="0"/>
          <w:i w:val="0"/>
          <w:sz w:val="24"/>
        </w:rPr>
        <w:t>̂₂ の国間変動が資産構成の観測可能な差異を反映しているかである。無形・R&amp;D 集約的投資のシェアが高い国は、PIM 構築が無形資産を省略していれば PIM–CWON 乖離が大きく（</w:t>
      </w:r>
      <w:r>
        <w:rPr>
          <w:rFonts w:ascii="Times New Roman" w:hAnsi="Times New Roman" w:eastAsia="MS Mincho"/>
          <w:b w:val="0"/>
          <w:i/>
          <w:sz w:val="24"/>
        </w:rPr>
        <w:t>ρ</w:t>
      </w:r>
      <w:r>
        <w:rPr>
          <w:rFonts w:ascii="Times New Roman" w:hAnsi="Times New Roman" w:eastAsia="MS Mincho"/>
          <w:b w:val="0"/>
          <w:i w:val="0"/>
          <w:sz w:val="24"/>
        </w:rPr>
        <w:t xml:space="preserve">̂₂ が低く）、M4 のテンポ・無形補正がこの乖離を首尾よく説明していれば </w:t>
      </w:r>
      <w:r>
        <w:rPr>
          <w:rFonts w:ascii="Times New Roman" w:hAnsi="Times New Roman" w:eastAsia="MS Mincho"/>
          <w:b w:val="0"/>
          <w:i/>
          <w:sz w:val="24"/>
        </w:rPr>
        <w:t>ρ</w:t>
      </w:r>
      <w:r>
        <w:rPr>
          <w:rFonts w:ascii="Times New Roman" w:hAnsi="Times New Roman" w:eastAsia="MS Mincho"/>
          <w:b w:val="0"/>
          <w:i w:val="0"/>
          <w:sz w:val="24"/>
        </w:rPr>
        <w:t>̂₂ が高くなることが期待される。</w:t>
      </w:r>
    </w:p>
    <w:p>
      <w:pPr>
        <w:spacing w:after="120" w:line="360" w:lineRule="auto"/>
        <w:ind w:firstLine="480"/>
      </w:pPr>
      <w:r>
        <w:rPr>
          <w:rFonts w:ascii="Times New Roman" w:hAnsi="Times New Roman" w:eastAsia="MS Mincho"/>
          <w:b w:val="0"/>
          <w:i w:val="0"/>
          <w:sz w:val="24"/>
        </w:rPr>
        <w:t xml:space="preserve">図 9 は </w:t>
      </w:r>
      <w:r>
        <w:rPr>
          <w:rFonts w:ascii="Times New Roman" w:hAnsi="Times New Roman" w:eastAsia="MS Mincho"/>
          <w:b w:val="0"/>
          <w:i/>
          <w:sz w:val="24"/>
        </w:rPr>
        <w:t>ρ</w:t>
      </w:r>
      <w:r>
        <w:rPr>
          <w:rFonts w:ascii="Times New Roman" w:hAnsi="Times New Roman" w:eastAsia="MS Mincho"/>
          <w:b w:val="0"/>
          <w:i w:val="0"/>
          <w:sz w:val="24"/>
        </w:rPr>
        <w:t>̂₂ を GDP に占める平均 R&amp;D 支出比率（世界銀行 WDI）に対するクロスセクション OLS 回帰を報告する。M0 のもとでは傾きは正（0.054）だが 5 % 水準で有意ではない（t = 1.82、R² = 0.082、n = 39）：R&amp;D 強度の高さは PIM–CWON 整合性の高さと弱く関連する。M4 のもとでは傾きが 0.068 に増加し有意となる（t = 2.34、R² = 0.129）：テンポ・無形補正後、R&amp;D 強度と PIM–CWON 整合性の関連が強まる。これは M4 の無形補正（</w:t>
      </w:r>
      <w:r>
        <w:rPr>
          <w:rFonts w:ascii="Times New Roman" w:hAnsi="Times New Roman" w:eastAsia="MS Mincho"/>
          <w:b w:val="0"/>
          <w:i/>
          <w:sz w:val="24"/>
        </w:rPr>
        <w:t>β</w:t>
      </w:r>
      <w:r>
        <w:rPr>
          <w:rFonts w:ascii="Times New Roman" w:hAnsi="Times New Roman" w:eastAsia="MS Mincho"/>
          <w:b w:val="0"/>
          <w:i w:val="0"/>
          <w:sz w:val="24"/>
        </w:rPr>
        <w:t>）が R&amp;D 強度と相関する資本ストックの成分を捉え、イノベーション志向経済の残差 PIM–CWON ギャップを縮小するという解釈と整合する。</w:t>
      </w:r>
    </w:p>
    <w:p>
      <w:pPr>
        <w:spacing w:after="120" w:line="360" w:lineRule="auto"/>
        <w:ind w:firstLine="480"/>
      </w:pPr>
      <w:r>
        <w:rPr>
          <w:rFonts w:ascii="Times New Roman" w:hAnsi="Times New Roman" w:eastAsia="MS Mincho"/>
          <w:b w:val="0"/>
          <w:i w:val="0"/>
          <w:sz w:val="24"/>
        </w:rPr>
        <w:t>クロスセクション R² は控えめ（13 %）にとどまり、PIM–CWON 乖離の他の多くの源泉（地価再評価、天然資源レント、資産寿命仮定の差異）を反映する。この結果は決定的というよりは示唆的に読むべきである：</w:t>
      </w:r>
      <w:r>
        <w:rPr>
          <w:rFonts w:ascii="Times New Roman" w:hAnsi="Times New Roman" w:eastAsia="MS Mincho"/>
          <w:b w:val="0"/>
          <w:i/>
          <w:sz w:val="24"/>
        </w:rPr>
        <w:t>ρ</w:t>
      </w:r>
      <w:r>
        <w:rPr>
          <w:rFonts w:ascii="Times New Roman" w:hAnsi="Times New Roman" w:eastAsia="MS Mincho"/>
          <w:b w:val="0"/>
          <w:i w:val="0"/>
          <w:sz w:val="24"/>
        </w:rPr>
        <w:t xml:space="preserve">̂₂ はランダムノイズではなく、部分的に各国の観測可能な資産構成差異を反映する。これは単一資産 PIM では直接モデル化できない資産別プロファイルへの間接的関与を提供し、複数資産 PIM データが利用可能になった際に </w:t>
      </w:r>
      <w:r>
        <w:rPr>
          <w:rFonts w:ascii="Times New Roman" w:hAnsi="Times New Roman" w:eastAsia="MS Mincho"/>
          <w:b w:val="0"/>
          <w:i/>
          <w:sz w:val="24"/>
        </w:rPr>
        <w:t>ρ</w:t>
      </w:r>
      <w:r>
        <w:rPr>
          <w:rFonts w:ascii="Times New Roman" w:hAnsi="Times New Roman" w:eastAsia="MS Mincho"/>
          <w:b w:val="0"/>
          <w:i w:val="0"/>
          <w:sz w:val="24"/>
        </w:rPr>
        <w:t>̂₂ を資産クラス別に分解するという自然な拡張を示す。</w:t>
      </w:r>
    </w:p>
    <w:p>
      <w:pPr>
        <w:spacing w:before="360" w:after="120" w:line="360" w:lineRule="auto"/>
      </w:pPr>
      <w:r>
        <w:rPr>
          <w:rFonts w:ascii="Times New Roman" w:hAnsi="Times New Roman" w:eastAsia="MS Mincho"/>
          <w:b/>
          <w:i w:val="0"/>
          <w:sz w:val="24"/>
        </w:rPr>
        <w:t>5.10 ソロー残差の歴史的分解</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4778"/>
            <wp:docPr id="10" name="Picture 10"/>
            <wp:cNvGraphicFramePr>
              <a:graphicFrameLocks noChangeAspect="1"/>
            </wp:cNvGraphicFramePr>
            <a:graphic>
              <a:graphicData uri="http://schemas.openxmlformats.org/drawingml/2006/picture">
                <pic:pic>
                  <pic:nvPicPr>
                    <pic:cNvPr id="0" name="fig10_solow_decomp_ja.png"/>
                    <pic:cNvPicPr/>
                  </pic:nvPicPr>
                  <pic:blipFill>
                    <a:blip r:embed="rId18"/>
                    <a:stretch>
                      <a:fillRect/>
                    </a:stretch>
                  </pic:blipFill>
                  <pic:spPr>
                    <a:xfrm>
                      <a:off x="0" y="0"/>
                      <a:ext cx="5669280" cy="3354778"/>
                    </a:xfrm>
                    <a:prstGeom prst="rect"/>
                  </pic:spPr>
                </pic:pic>
              </a:graphicData>
            </a:graphic>
          </wp:inline>
        </w:drawing>
      </w:r>
    </w:p>
    <w:p>
      <w:pPr>
        <w:spacing w:after="240"/>
        <w:jc w:val="center"/>
      </w:pPr>
      <w:r>
        <w:rPr>
          <w:rFonts w:ascii="Times New Roman" w:hAnsi="Times New Roman" w:eastAsia="MS Mincho"/>
          <w:b/>
          <w:i w:val="0"/>
          <w:sz w:val="20"/>
        </w:rPr>
        <w:t xml:space="preserve">図10. </w:t>
      </w:r>
      <w:r>
        <w:rPr>
          <w:rFonts w:ascii="Times New Roman" w:hAnsi="Times New Roman" w:eastAsia="MS Mincho"/>
          <w:b w:val="0"/>
          <w:i w:val="0"/>
          <w:sz w:val="20"/>
        </w:rPr>
        <w:t>ソロー残差の分解: M0 vs テンポ調整(M2) vs 統合(M4)、代表6カ国。</w:t>
      </w:r>
    </w:p>
    <w:p>
      <w:pPr>
        <w:spacing w:after="120" w:line="360" w:lineRule="auto"/>
        <w:ind w:firstLine="480"/>
      </w:pPr>
      <w:r>
        <w:rPr>
          <w:rFonts w:ascii="Times New Roman" w:hAnsi="Times New Roman" w:eastAsia="MS Mincho"/>
          <w:b w:val="0"/>
          <w:i w:val="0"/>
          <w:sz w:val="24"/>
        </w:rPr>
        <w:t>以上の分析は、M2 および M4 が標準的な予測精度指標で M0 を改善することを確立した。しかし経済学的な問いはより鋭い：M0 のもとで測定された TFP のうち、どの程度がテンポ・アーティファクトなのか？ これに答えるため、各国・各モデルについて TFP の完全な時系列を計算する（表 5、図 10）。</w:t>
      </w:r>
    </w:p>
    <w:p>
      <w:pPr>
        <w:spacing w:after="120" w:line="360" w:lineRule="auto"/>
        <w:ind w:firstLine="480"/>
      </w:pPr>
      <w:r>
        <w:rPr>
          <w:rFonts w:ascii="Times New Roman" w:hAnsi="Times New Roman" w:eastAsia="MS Mincho"/>
          <w:b w:val="0"/>
          <w:i w:val="0"/>
          <w:sz w:val="24"/>
        </w:rPr>
        <w:t xml:space="preserve">M0 のもとでソロー残差は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であり、K₀ は即時 PIM ストックである。M2 のもとでは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となり、K₂ はテンポドリフト PIM ストックである。成長率分散の差――Var(</w:t>
      </w:r>
      <w:r>
        <w:rPr>
          <w:rFonts w:ascii="Times New Roman" w:hAnsi="Times New Roman" w:eastAsia="MS Mincho"/>
          <w:b w:val="0"/>
          <w:i/>
          <w:sz w:val="24"/>
        </w:rPr>
        <w:t>Δ</w:t>
      </w:r>
      <w:r>
        <w:rPr>
          <w:rFonts w:ascii="Times New Roman" w:hAnsi="Times New Roman" w:eastAsia="MS Mincho"/>
          <w:b w:val="0"/>
          <w:i w:val="0"/>
          <w:sz w:val="24"/>
        </w:rPr>
        <w:t xml:space="preserve"> log A₀) 対 Var(</w:t>
      </w:r>
      <w:r>
        <w:rPr>
          <w:rFonts w:ascii="Times New Roman" w:hAnsi="Times New Roman" w:eastAsia="MS Mincho"/>
          <w:b w:val="0"/>
          <w:i/>
          <w:sz w:val="24"/>
        </w:rPr>
        <w:t>Δ</w:t>
      </w:r>
      <w:r>
        <w:rPr>
          <w:rFonts w:ascii="Times New Roman" w:hAnsi="Times New Roman" w:eastAsia="MS Mincho"/>
          <w:b w:val="0"/>
          <w:i w:val="0"/>
          <w:sz w:val="24"/>
        </w:rPr>
        <w:t xml:space="preserve"> log A₂)――が、タイム・トゥ・ビルド補正によって TFP 成長率変動のどの程度が吸収されるかを測る。39 カ国全体で、テンポドリフト単独（M0 → M2）による分散縮小の中央値は 2.1 % だが、スウェーデン、スロバキア、ニュージーランド、ノルウェーでは 8 % を超え、ニュージーランドでは 13.8 % に達する。統合補正（M0 → M4）の中央値は 2.7 % で、フランス（29.7 %）、ルクセンブルク（14.6 %）、オランダ（10.7 %）、イタリア（11.0 %）で最大のシフトを示す。</w:t>
      </w:r>
    </w:p>
    <w:p>
      <w:pPr>
        <w:spacing w:after="120" w:line="360" w:lineRule="auto"/>
        <w:ind w:firstLine="480"/>
      </w:pPr>
      <w:r>
        <w:rPr>
          <w:rFonts w:ascii="Times New Roman" w:hAnsi="Times New Roman" w:eastAsia="MS Mincho"/>
          <w:b w:val="0"/>
          <w:i w:val="0"/>
          <w:sz w:val="24"/>
        </w:rPr>
        <w:t xml:space="preserve">図 10 は代表6カ国（日本、米国、ドイツ、韓国、英国、フランス）の TFP 時系列パスを表示する。各パネルで M0 曲線と M2 曲線の間の網掛け領域がテンポ・アーティファクトを測る。フランスでは M0 と M4 の残差が 2005 年以降急激に乖離しており、推定された </w:t>
      </w:r>
      <w:r>
        <w:rPr>
          <w:rFonts w:ascii="Times New Roman" w:hAnsi="Times New Roman" w:eastAsia="MS Mincho"/>
          <w:b w:val="0"/>
          <w:i/>
          <w:sz w:val="24"/>
        </w:rPr>
        <w:t>β</w:t>
      </w:r>
      <w:r>
        <w:rPr>
          <w:rFonts w:ascii="Times New Roman" w:hAnsi="Times New Roman" w:eastAsia="MS Mincho"/>
          <w:b w:val="0"/>
          <w:i w:val="0"/>
          <w:sz w:val="24"/>
        </w:rPr>
        <w:t>̂ = 0.34（表 1）と整合する。これらの結果は「So what?」への核心的回答を提供する：TFP 成長と呼ばれてきたものの少なからぬ部分は、資本ストックのタイミングを正しく計測し無形資本を許容すれば消失する会計歪みである。</w:t>
      </w:r>
    </w:p>
    <w:p>
      <w:pPr>
        <w:spacing w:before="360" w:after="120" w:line="360" w:lineRule="auto"/>
      </w:pPr>
      <w:r>
        <w:rPr>
          <w:rFonts w:ascii="Times New Roman" w:hAnsi="Times New Roman" w:eastAsia="MS Mincho"/>
          <w:b/>
          <w:i w:val="0"/>
          <w:sz w:val="24"/>
        </w:rPr>
        <w:t>5.11 反事実的国富：β が公式統計に含まれていたら</w:t>
      </w:r>
    </w:p>
    <w:p>
      <w:pPr>
        <w:spacing w:before="360" w:after="120"/>
        <w:jc w:val="center"/>
      </w:pPr>
      <w:r>
        <w:drawing>
          <wp:inline xmlns:a="http://schemas.openxmlformats.org/drawingml/2006/main" xmlns:pic="http://schemas.openxmlformats.org/drawingml/2006/picture">
            <wp:extent cx="5669280" cy="2810797"/>
            <wp:docPr id="11" name="Picture 11"/>
            <wp:cNvGraphicFramePr>
              <a:graphicFrameLocks noChangeAspect="1"/>
            </wp:cNvGraphicFramePr>
            <a:graphic>
              <a:graphicData uri="http://schemas.openxmlformats.org/drawingml/2006/picture">
                <pic:pic>
                  <pic:nvPicPr>
                    <pic:cNvPr id="0" name="fig11_counterfactual_wealth_ja.png"/>
                    <pic:cNvPicPr/>
                  </pic:nvPicPr>
                  <pic:blipFill>
                    <a:blip r:embed="rId19"/>
                    <a:stretch>
                      <a:fillRect/>
                    </a:stretch>
                  </pic:blipFill>
                  <pic:spPr>
                    <a:xfrm>
                      <a:off x="0" y="0"/>
                      <a:ext cx="5669280" cy="2810797"/>
                    </a:xfrm>
                    <a:prstGeom prst="rect"/>
                  </pic:spPr>
                </pic:pic>
              </a:graphicData>
            </a:graphic>
          </wp:inline>
        </w:drawing>
      </w:r>
    </w:p>
    <w:p>
      <w:pPr>
        <w:spacing w:after="240"/>
        <w:jc w:val="center"/>
      </w:pPr>
      <w:r>
        <w:rPr>
          <w:rFonts w:ascii="Times New Roman" w:hAnsi="Times New Roman" w:eastAsia="MS Mincho"/>
          <w:b/>
          <w:i w:val="0"/>
          <w:sz w:val="20"/>
        </w:rPr>
        <w:t xml:space="preserve">図11. </w:t>
      </w:r>
      <w:r>
        <w:rPr>
          <w:rFonts w:ascii="Times New Roman" w:hAnsi="Times New Roman" w:eastAsia="MS Mincho"/>
          <w:b w:val="0"/>
          <w:i w:val="0"/>
          <w:sz w:val="20"/>
        </w:rPr>
        <w:t>国富: CWON公式値 vs 無形資本調整後の生産資本（2019年）。</w:t>
      </w:r>
    </w:p>
    <w:p>
      <w:pPr>
        <w:spacing w:after="120" w:line="360" w:lineRule="auto"/>
        <w:ind w:firstLine="480"/>
      </w:pPr>
      <w:r>
        <w:rPr>
          <w:rFonts w:ascii="Times New Roman" w:hAnsi="Times New Roman" w:eastAsia="MS Mincho"/>
          <w:b w:val="0"/>
          <w:i w:val="0"/>
          <w:sz w:val="24"/>
        </w:rPr>
        <w:t xml:space="preserve">無形資本シェア </w:t>
      </w:r>
      <w:r>
        <w:rPr>
          <w:rFonts w:ascii="Times New Roman" w:hAnsi="Times New Roman" w:eastAsia="MS Mincho"/>
          <w:b w:val="0"/>
          <w:i/>
          <w:sz w:val="24"/>
        </w:rPr>
        <w:t>β</w:t>
      </w:r>
      <w:r>
        <w:rPr>
          <w:rFonts w:ascii="Times New Roman" w:hAnsi="Times New Roman" w:eastAsia="MS Mincho"/>
          <w:b w:val="0"/>
          <w:i w:val="0"/>
          <w:sz w:val="24"/>
        </w:rPr>
        <w:t xml:space="preserve"> には直接的な政策含意がある：</w:t>
      </w:r>
      <w:r>
        <w:rPr>
          <w:rFonts w:ascii="Times New Roman" w:hAnsi="Times New Roman" w:eastAsia="MS Mincho"/>
          <w:b w:val="0"/>
          <w:i/>
          <w:sz w:val="24"/>
        </w:rPr>
        <w:t>β</w:t>
      </w:r>
      <w:r>
        <w:rPr>
          <w:rFonts w:ascii="Times New Roman" w:hAnsi="Times New Roman" w:eastAsia="MS Mincho"/>
          <w:b w:val="0"/>
          <w:i w:val="0"/>
          <w:sz w:val="24"/>
        </w:rPr>
        <w:t xml:space="preserve"> が公式国富会計に含まれていれば、国民の生産資本は上方修正される。これを定量化するため、各国の 2019 年時点の反事実的生産資本を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として計算する。K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は 2019 年時点の無形/有形 PIM ストック比である。</w:t>
      </w:r>
    </w:p>
    <w:p>
      <w:pPr>
        <w:spacing w:after="120" w:line="360" w:lineRule="auto"/>
        <w:ind w:firstLine="480"/>
      </w:pPr>
      <w:r>
        <w:rPr>
          <w:rFonts w:ascii="Times New Roman" w:hAnsi="Times New Roman" w:eastAsia="MS Mincho"/>
          <w:b w:val="0"/>
          <w:i w:val="0"/>
          <w:sz w:val="24"/>
        </w:rPr>
        <w:t xml:space="preserve">図 11 は </w:t>
      </w:r>
      <w:r>
        <w:rPr>
          <w:rFonts w:ascii="Times New Roman" w:hAnsi="Times New Roman" w:eastAsia="MS Mincho"/>
          <w:b w:val="0"/>
          <w:i/>
          <w:sz w:val="24"/>
        </w:rPr>
        <w:t>β</w:t>
      </w:r>
      <w:r>
        <w:rPr>
          <w:rFonts w:ascii="Times New Roman" w:hAnsi="Times New Roman" w:eastAsia="MS Mincho"/>
          <w:b w:val="0"/>
          <w:i w:val="0"/>
          <w:sz w:val="24"/>
        </w:rPr>
        <w:t xml:space="preserve">̂ &gt; 0 の 21 カ国の結果を示す。オランダ、フランス、ノルウェーが最大の調整（0.9–1.1 %）を示し、高い </w:t>
      </w:r>
      <w:r>
        <w:rPr>
          <w:rFonts w:ascii="Times New Roman" w:hAnsi="Times New Roman" w:eastAsia="MS Mincho"/>
          <w:b w:val="0"/>
          <w:i/>
          <w:sz w:val="24"/>
        </w:rPr>
        <w:t>β</w:t>
      </w:r>
      <w:r>
        <w:rPr>
          <w:rFonts w:ascii="Times New Roman" w:hAnsi="Times New Roman" w:eastAsia="MS Mincho"/>
          <w:b w:val="0"/>
          <w:i w:val="0"/>
          <w:sz w:val="24"/>
        </w:rPr>
        <w:t>̂（0.34）と高い R&amp;D/GDP 比の組み合わせによる。総国富（CWON 合計）については、生産資本が総国富の一成分に過ぎないため、調整は 0.1–0.3 % にとどまる。これらは R&amp;D 支出のみで無形ストックを代理しているため保守的な下限であり、組織資本、ブランド、訓練を含む広義の無形資本測度（Corrado et al., 2005）ではより大きな調整となる。</w:t>
      </w:r>
    </w:p>
    <w:p>
      <w:pPr>
        <w:spacing w:after="120" w:line="360" w:lineRule="auto"/>
        <w:ind w:firstLine="480"/>
      </w:pPr>
      <w:r>
        <w:rPr>
          <w:rFonts w:ascii="Times New Roman" w:hAnsi="Times New Roman" w:eastAsia="MS Mincho"/>
          <w:b w:val="0"/>
          <w:i w:val="0"/>
          <w:sz w:val="24"/>
        </w:rPr>
        <w:t>政策含意は具体的である：無形資本を国富会計から除外している国は、将来の成長の基盤となる生産資本を体系的に過小評価している。この過小評価は集計水準では小さいが、正確な知識経済の測定が最も重要なイノベーション集約経済に集中している。</w:t>
      </w:r>
    </w:p>
    <w:p>
      <w:pPr>
        <w:spacing w:before="360" w:after="120" w:line="360" w:lineRule="auto"/>
      </w:pPr>
      <w:r>
        <w:rPr>
          <w:rFonts w:ascii="Times New Roman" w:hAnsi="Times New Roman" w:eastAsia="MS Mincho"/>
          <w:b/>
          <w:i w:val="0"/>
          <w:sz w:val="28"/>
        </w:rPr>
        <w:t>6 考察</w:t>
      </w:r>
    </w:p>
    <w:p>
      <w:pPr>
        <w:spacing w:before="360" w:after="120" w:line="360" w:lineRule="auto"/>
      </w:pPr>
      <w:r>
        <w:rPr>
          <w:rFonts w:ascii="Times New Roman" w:hAnsi="Times New Roman" w:eastAsia="MS Mincho"/>
          <w:b/>
          <w:i w:val="0"/>
          <w:sz w:val="24"/>
        </w:rPr>
        <w:t>6.1 Solow 残差の再解釈</w:t>
      </w:r>
    </w:p>
    <w:p>
      <w:pPr>
        <w:spacing w:after="120" w:line="360" w:lineRule="auto"/>
        <w:ind w:firstLine="480"/>
      </w:pPr>
      <w:r>
        <w:rPr>
          <w:rFonts w:ascii="Times New Roman" w:hAnsi="Times New Roman" w:eastAsia="MS Mincho"/>
          <w:b w:val="0"/>
          <w:i w:val="0"/>
          <w:sz w:val="24"/>
        </w:rPr>
        <w:t>5.10 節の歴史的分解は、ソロー残差が真のイノベーションと資本ストック計測誤差を混同しているという長年の疑念に数字を与える。M0（即時 PIM、</w:t>
      </w:r>
      <w:r>
        <w:rPr>
          <w:rFonts w:ascii="Times New Roman" w:hAnsi="Times New Roman" w:eastAsia="MS Mincho"/>
          <w:b w:val="0"/>
          <w:i/>
          <w:sz w:val="24"/>
        </w:rPr>
        <w:t>β</w:t>
      </w:r>
      <w:r>
        <w:rPr>
          <w:rFonts w:ascii="Times New Roman" w:hAnsi="Times New Roman" w:eastAsia="MS Mincho"/>
          <w:b w:val="0"/>
          <w:i w:val="0"/>
          <w:sz w:val="24"/>
        </w:rPr>
        <w:t xml:space="preserve">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w:t>
      </w:r>
      <w:r>
        <w:rPr>
          <w:rFonts w:ascii="Times New Roman" w:hAnsi="Times New Roman" w:eastAsia="MS Mincho"/>
          <w:b w:val="0"/>
          <w:i/>
          <w:sz w:val="24"/>
        </w:rPr>
        <w:t>μ</w:t>
      </w:r>
      <w:r>
        <w:rPr>
          <w:rFonts w:ascii="Times New Roman" w:hAnsi="Times New Roman" w:eastAsia="MS Mincho"/>
          <w:b w:val="0"/>
          <w:i w:val="0"/>
          <w:sz w:val="24"/>
        </w:rPr>
        <w:t xml:space="preserve">(t) と無形シェア </w:t>
      </w:r>
      <w:r>
        <w:rPr>
          <w:rFonts w:ascii="Times New Roman" w:hAnsi="Times New Roman" w:eastAsia="MS Mincho"/>
          <w:b w:val="0"/>
          <w:i/>
          <w:sz w:val="24"/>
        </w:rPr>
        <w:t>β</w:t>
      </w:r>
      <w:r>
        <w:rPr>
          <w:rFonts w:ascii="Times New Roman" w:hAnsi="Times New Roman" w:eastAsia="MS Mincho"/>
          <w:b w:val="0"/>
          <w:i w:val="0"/>
          <w:sz w:val="24"/>
        </w:rPr>
        <w:t>――に再帰着することを示した。これはイノベーションが重要でないという主張ではない。残差解釈の前に、まず会計を済ませるべきだという主張である。</w:t>
      </w:r>
    </w:p>
    <w:p>
      <w:pPr>
        <w:spacing w:before="360" w:after="120" w:line="360" w:lineRule="auto"/>
      </w:pPr>
      <w:r>
        <w:rPr>
          <w:rFonts w:ascii="Times New Roman" w:hAnsi="Times New Roman" w:eastAsia="MS Mincho"/>
          <w:b/>
          <w:i w:val="0"/>
          <w:sz w:val="24"/>
        </w:rPr>
        <w:t>6.2 Bongaarts-Feeney-Goldstein-Lutz-Scherbov との類比</w:t>
      </w:r>
    </w:p>
    <w:p>
      <w:pPr>
        <w:spacing w:after="120" w:line="360" w:lineRule="auto"/>
        <w:ind w:firstLine="480"/>
      </w:pPr>
      <w:r>
        <w:rPr>
          <w:rFonts w:ascii="Times New Roman" w:hAnsi="Times New Roman" w:eastAsia="MS Mincho"/>
          <w:b w:val="0"/>
          <w:i w:val="0"/>
          <w:sz w:val="24"/>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360" w:lineRule="auto"/>
        <w:ind w:firstLine="480"/>
      </w:pPr>
      <w:r>
        <w:rPr>
          <w:rFonts w:ascii="Times New Roman" w:hAnsi="Times New Roman" w:eastAsia="MS Mincho"/>
          <w:b w:val="0"/>
          <w:i w:val="0"/>
          <w:sz w:val="24"/>
        </w:rPr>
        <w:t xml:space="preserve">少なくとも最も保守的な水準では、第 5 節の結果は、我々が TFP 成長と呼んできたものの「一部分」は </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w:t>
      </w:r>
      <w:r>
        <w:rPr>
          <w:rFonts w:ascii="Times New Roman" w:hAnsi="Times New Roman" w:eastAsia="MS Mincho"/>
          <w:b w:val="0"/>
          <w:i/>
          <w:sz w:val="24"/>
        </w:rPr>
        <w:t>μ</w:t>
      </w:r>
      <w:r>
        <w:rPr>
          <w:rFonts w:ascii="Times New Roman" w:hAnsi="Times New Roman" w:eastAsia="MS Mincho"/>
          <w:b w:val="0"/>
          <w:i w:val="0"/>
          <w:sz w:val="24"/>
        </w:rPr>
        <w:t xml:space="preserve">、ゼロ </w:t>
      </w:r>
      <w:r>
        <w:rPr>
          <w:rFonts w:ascii="Times New Roman" w:hAnsi="Times New Roman" w:eastAsia="MS Mincho"/>
          <w:b w:val="0"/>
          <w:i/>
          <w:sz w:val="24"/>
        </w:rPr>
        <w:t>β</w:t>
      </w:r>
      <w:r>
        <w:rPr>
          <w:rFonts w:ascii="Times New Roman" w:hAnsi="Times New Roman" w:eastAsia="MS Mincho"/>
          <w:b w:val="0"/>
          <w:i w:val="0"/>
          <w:sz w:val="24"/>
        </w:rPr>
        <w:t>）の非対称な扱いを続けるべきでないというものである。</w:t>
      </w:r>
    </w:p>
    <w:p>
      <w:pPr>
        <w:spacing w:before="360" w:after="120" w:line="360" w:lineRule="auto"/>
      </w:pPr>
      <w:r>
        <w:rPr>
          <w:rFonts w:ascii="Times New Roman" w:hAnsi="Times New Roman" w:eastAsia="MS Mincho"/>
          <w:b/>
          <w:i w:val="0"/>
          <w:sz w:val="24"/>
        </w:rPr>
        <w:t>6.3 同定戦略と信頼性</w:t>
      </w:r>
    </w:p>
    <w:p>
      <w:pPr>
        <w:spacing w:after="120" w:line="360" w:lineRule="auto"/>
        <w:ind w:firstLine="480"/>
      </w:pP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が生産面データのみからは分離同定できないのではないかという自然な反論がある。高い </w:t>
      </w:r>
      <w:r>
        <w:rPr>
          <w:rFonts w:ascii="Times New Roman" w:hAnsi="Times New Roman" w:eastAsia="MS Mincho"/>
          <w:b w:val="0"/>
          <w:i/>
          <w:sz w:val="24"/>
        </w:rPr>
        <w:t>μ</w:t>
      </w:r>
      <w:r>
        <w:rPr>
          <w:rFonts w:ascii="Times New Roman" w:hAnsi="Times New Roman" w:eastAsia="MS Mincho"/>
          <w:b w:val="0"/>
          <w:i w:val="0"/>
          <w:sz w:val="24"/>
        </w:rPr>
        <w:t xml:space="preserve"> は測定資本蓄積を遅らせるが、低い </w:t>
      </w:r>
      <w:r>
        <w:rPr>
          <w:rFonts w:ascii="Times New Roman" w:hAnsi="Times New Roman" w:eastAsia="MS Mincho"/>
          <w:b w:val="0"/>
          <w:i/>
          <w:sz w:val="24"/>
        </w:rPr>
        <w:t>β</w:t>
      </w:r>
      <w:r>
        <w:rPr>
          <w:rFonts w:ascii="Times New Roman" w:hAnsi="Times New Roman" w:eastAsia="MS Mincho"/>
          <w:b w:val="0"/>
          <w:i w:val="0"/>
          <w:sz w:val="24"/>
        </w:rPr>
        <w:t xml:space="preserve"> も類似の効果を持つ。本稿の同定戦略は、パラメータ空間の異なる次元をそれぞれ解消する三つの変動源に依拠する。</w:t>
      </w:r>
    </w:p>
    <w:p>
      <w:pPr>
        <w:spacing w:after="120" w:line="360" w:lineRule="auto"/>
        <w:ind w:firstLine="480"/>
      </w:pPr>
      <w:r>
        <w:rPr>
          <w:rFonts w:ascii="Times New Roman" w:hAnsi="Times New Roman" w:eastAsia="MS Mincho"/>
          <w:b w:val="0"/>
          <w:i/>
          <w:sz w:val="24"/>
        </w:rPr>
        <w:t>第一に、国富面制約。</w:t>
      </w:r>
      <w:r>
        <w:rPr>
          <w:rFonts w:ascii="Times New Roman" w:hAnsi="Times New Roman" w:eastAsia="MS Mincho"/>
          <w:b w:val="0"/>
          <w:i w:val="0"/>
          <w:sz w:val="24"/>
        </w:rPr>
        <w:t xml:space="preserve"> 同時損失関数 (2) は生産面の成長率残差と国富面の軌跡乖離を同時にペナライズする。CWON 生産資本 NW.PCA.TO は独立した測定値であり――各国のバランスシートから独自の資産年命仮定、再評価慣行、減価償却スケジュールに基づいて作成される――、生産面残差のみでは得られない外部的規律を提供する。5.4 節のブートストラップ証拠はこれを定量化する。生産面残差のみでは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空間の 95 % 領域はほとんどの国で広い稜線となるが、国富制約を加えると 39 カ国中 28 カ国で 5 % 水準で稜線が 1 点に収縮する。この収縮は検証可能な含意をもつ。国富データが無情報であれば、同時推定と生産のみの事後分布は一致するはずである。</w:t>
      </w:r>
    </w:p>
    <w:p>
      <w:pPr>
        <w:spacing w:after="120" w:line="360" w:lineRule="auto"/>
        <w:ind w:firstLine="480"/>
      </w:pPr>
      <w:r>
        <w:rPr>
          <w:rFonts w:ascii="Times New Roman" w:hAnsi="Times New Roman" w:eastAsia="MS Mincho"/>
          <w:b w:val="0"/>
          <w:i/>
          <w:sz w:val="24"/>
        </w:rPr>
        <w:t>第二に、資産構成の国際間異質性。</w:t>
      </w:r>
      <w:r>
        <w:rPr>
          <w:rFonts w:ascii="Times New Roman" w:hAnsi="Times New Roman" w:eastAsia="MS Mincho"/>
          <w:b w:val="0"/>
          <w:i w:val="0"/>
          <w:sz w:val="24"/>
        </w:rPr>
        <w:t xml:space="preserve"> R&amp;D 集約度が系統的に異なる国は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空間の異なる領域を辿る。5.9 節で報告した R&amp;D 集約度に対する </w:t>
      </w:r>
      <w:r>
        <w:rPr>
          <w:rFonts w:ascii="Times New Roman" w:hAnsi="Times New Roman" w:eastAsia="MS Mincho"/>
          <w:b w:val="0"/>
          <w:i/>
          <w:sz w:val="24"/>
        </w:rPr>
        <w:t>ρ</w:t>
      </w:r>
      <w:r>
        <w:rPr>
          <w:rFonts w:ascii="Times New Roman" w:hAnsi="Times New Roman" w:eastAsia="MS Mincho"/>
          <w:b w:val="0"/>
          <w:i w:val="0"/>
          <w:sz w:val="24"/>
        </w:rPr>
        <w:t>̂₂ の正の勾配（M4 下で傾き = 0.068, t = 2.34）は、</w:t>
      </w:r>
      <w:r>
        <w:rPr>
          <w:rFonts w:ascii="Times New Roman" w:hAnsi="Times New Roman" w:eastAsia="MS Mincho"/>
          <w:b w:val="0"/>
          <w:i/>
          <w:sz w:val="24"/>
        </w:rPr>
        <w:t>β</w:t>
      </w:r>
      <w:r>
        <w:rPr>
          <w:rFonts w:ascii="Times New Roman" w:hAnsi="Times New Roman" w:eastAsia="MS Mincho"/>
          <w:b w:val="0"/>
          <w:i w:val="0"/>
          <w:sz w:val="24"/>
        </w:rPr>
        <w:t xml:space="preserve"> が観測可能な R&amp;D 支出と相関するが機械的に決定はされない成分を捉えているという解釈と整合する。</w:t>
      </w:r>
      <w:r>
        <w:rPr>
          <w:rFonts w:ascii="Times New Roman" w:hAnsi="Times New Roman" w:eastAsia="MS Mincho"/>
          <w:b w:val="0"/>
          <w:i/>
          <w:sz w:val="24"/>
        </w:rPr>
        <w:t>β</w:t>
      </w:r>
      <w:r>
        <w:rPr>
          <w:rFonts w:ascii="Times New Roman" w:hAnsi="Times New Roman" w:eastAsia="MS Mincho"/>
          <w:b w:val="0"/>
          <w:i w:val="0"/>
          <w:sz w:val="24"/>
        </w:rPr>
        <w:t xml:space="preserve"> が無形資本と無関係な生産面ノイズを吸収しているだけであれば、クロスセクション勾配が M0 から M4 で急になる理由はない。</w:t>
      </w:r>
    </w:p>
    <w:p>
      <w:pPr>
        <w:spacing w:after="120" w:line="360" w:lineRule="auto"/>
        <w:ind w:firstLine="480"/>
      </w:pPr>
      <w:r>
        <w:rPr>
          <w:rFonts w:ascii="Times New Roman" w:hAnsi="Times New Roman" w:eastAsia="MS Mincho"/>
          <w:b w:val="0"/>
          <w:i/>
          <w:sz w:val="24"/>
        </w:rPr>
        <w:t>第三に、減価償却率感度チェック。</w:t>
      </w:r>
      <w:r>
        <w:rPr>
          <w:rFonts w:ascii="Times New Roman" w:hAnsi="Times New Roman" w:eastAsia="MS Mincho"/>
          <w:b w:val="0"/>
          <w:i w:val="0"/>
          <w:sz w:val="24"/>
        </w:rPr>
        <w:t xml:space="preserve"> 5.6 節の </w:t>
      </w:r>
      <w:r>
        <w:rPr>
          <w:rFonts w:ascii="Times New Roman" w:hAnsi="Times New Roman" w:eastAsia="MS Mincho"/>
          <w:b w:val="0"/>
          <w:i/>
          <w:sz w:val="24"/>
        </w:rPr>
        <w:t>δ</w:t>
      </w:r>
      <w:r>
        <w:rPr>
          <w:rFonts w:ascii="Times New Roman" w:hAnsi="Times New Roman" w:eastAsia="MS Mincho"/>
          <w:b w:val="0"/>
          <w:i w:val="0"/>
          <w:sz w:val="24"/>
        </w:rPr>
        <w:t xml:space="preserve"> 変動実験は、ドリフトする減価償却率がテンポ効果を模倣しうるという懸念に対処する。</w:t>
      </w:r>
      <w:r>
        <w:rPr>
          <w:rFonts w:ascii="Times New Roman" w:hAnsi="Times New Roman" w:eastAsia="MS Mincho"/>
          <w:b w:val="0"/>
          <w:i/>
          <w:sz w:val="24"/>
        </w:rPr>
        <w:t>μ</w:t>
      </w:r>
      <w:r>
        <w:rPr>
          <w:rFonts w:ascii="Times New Roman" w:hAnsi="Times New Roman" w:eastAsia="MS Mincho"/>
          <w:b w:val="0"/>
          <w:i w:val="0"/>
          <w:sz w:val="24"/>
        </w:rPr>
        <w:t>̂ が ±20 % の減価償却率変動で基準推定量の 6 % 以内で安定するという知見は、テンポ・パラメータが減価償却の計測誤差のアーチファクトではないことを意味する。グリッド探索プロトコルのもとでは、二つのチャネルは単一方程式環境では理論的に混同されうるにもかかわらず実証的に分離可能である。</w:t>
      </w:r>
    </w:p>
    <w:p>
      <w:pPr>
        <w:spacing w:after="120" w:line="360" w:lineRule="auto"/>
        <w:ind w:firstLine="480"/>
      </w:pPr>
      <w:r>
        <w:rPr>
          <w:rFonts w:ascii="Times New Roman" w:hAnsi="Times New Roman" w:eastAsia="MS Mincho"/>
          <w:b w:val="0"/>
          <w:i w:val="0"/>
          <w:sz w:val="24"/>
        </w:rPr>
        <w:t xml:space="preserve">これら三つの議論はいずれも、自然実験や操作変数設計で利用可能な種類の構造的同定の証明ではないことを認める。本稿の枠組はキャリブレートされた分解であり、因果モデルではない。三つの変動源が集合的に確立するのは、分解が「規律付けられている」こと――制約のない統計的演習ではなく、フローとストック勘定が一致すべきという要請によってパラメータが固定される会計恒等式のシステムであること――であり、結果として得られるパラメータ推定値が経済理論の予測する方向に動くこと（長い懐胎期間の投資がある経済で高い </w:t>
      </w:r>
      <w:r>
        <w:rPr>
          <w:rFonts w:ascii="Times New Roman" w:hAnsi="Times New Roman" w:eastAsia="MS Mincho"/>
          <w:b w:val="0"/>
          <w:i/>
          <w:sz w:val="24"/>
        </w:rPr>
        <w:t>μ</w:t>
      </w:r>
      <w:r>
        <w:rPr>
          <w:rFonts w:ascii="Times New Roman" w:hAnsi="Times New Roman" w:eastAsia="MS Mincho"/>
          <w:b w:val="0"/>
          <w:i w:val="0"/>
          <w:sz w:val="24"/>
        </w:rPr>
        <w:t xml:space="preserve">、R&amp;D の多い経済で高い </w:t>
      </w:r>
      <w:r>
        <w:rPr>
          <w:rFonts w:ascii="Times New Roman" w:hAnsi="Times New Roman" w:eastAsia="MS Mincho"/>
          <w:b w:val="0"/>
          <w:i/>
          <w:sz w:val="24"/>
        </w:rPr>
        <w:t>β</w:t>
      </w:r>
      <w:r>
        <w:rPr>
          <w:rFonts w:ascii="Times New Roman" w:hAnsi="Times New Roman" w:eastAsia="MS Mincho"/>
          <w:b w:val="0"/>
          <w:i w:val="0"/>
          <w:sz w:val="24"/>
        </w:rPr>
        <w:t>）である。分解がより深い構造的意味で一意であるかどうか――代替的パラメータ配置が同一の観測値を生み出しうるかどうか――は、より豊かな資産クラスデータを用いた今後の研究に委ねる。</w:t>
      </w:r>
    </w:p>
    <w:p>
      <w:pPr>
        <w:spacing w:before="360" w:after="120" w:line="360" w:lineRule="auto"/>
      </w:pPr>
      <w:r>
        <w:rPr>
          <w:rFonts w:ascii="Times New Roman" w:hAnsi="Times New Roman" w:eastAsia="MS Mincho"/>
          <w:b/>
          <w:i w:val="0"/>
          <w:sz w:val="24"/>
        </w:rPr>
        <w:t>6.4 フロー＝ストック整合と Beyond-GDP</w:t>
      </w:r>
    </w:p>
    <w:p>
      <w:pPr>
        <w:spacing w:after="120" w:line="360" w:lineRule="auto"/>
        <w:ind w:firstLine="480"/>
      </w:pPr>
      <w:r>
        <w:rPr>
          <w:rFonts w:ascii="Times New Roman" w:hAnsi="Times New Roman" w:eastAsia="MS Mincho"/>
          <w:b w:val="0"/>
          <w:i w:val="0"/>
          <w:sz w:val="24"/>
        </w:rPr>
        <w:t xml:space="preserve">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w:t>
      </w:r>
      <w:r>
        <w:rPr>
          <w:rFonts w:ascii="Times New Roman" w:hAnsi="Times New Roman" w:eastAsia="MS Mincho"/>
          <w:b w:val="0"/>
          <w:i/>
          <w:sz w:val="24"/>
        </w:rPr>
        <w:t>μ</w:t>
      </w:r>
      <w:r>
        <w:rPr>
          <w:rFonts w:ascii="Times New Roman" w:hAnsi="Times New Roman" w:eastAsia="MS Mincho"/>
          <w:b w:val="0"/>
          <w:i w:val="0"/>
          <w:sz w:val="24"/>
        </w:rPr>
        <w:t xml:space="preserve">(t) と非ゼロ </w:t>
      </w:r>
      <w:r>
        <w:rPr>
          <w:rFonts w:ascii="Times New Roman" w:hAnsi="Times New Roman" w:eastAsia="MS Mincho"/>
          <w:b w:val="0"/>
          <w:i/>
          <w:sz w:val="24"/>
        </w:rPr>
        <w:t>β</w:t>
      </w:r>
      <w:r>
        <w:rPr>
          <w:rFonts w:ascii="Times New Roman" w:hAnsi="Times New Roman" w:eastAsia="MS Mincho"/>
          <w:b w:val="0"/>
          <w:i w:val="0"/>
          <w:sz w:val="24"/>
        </w:rPr>
        <w:t xml:space="preserve">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w:t>
      </w:r>
      <w:r>
        <w:rPr>
          <w:rFonts w:ascii="Times New Roman" w:hAnsi="Times New Roman" w:eastAsia="MS Mincho"/>
          <w:b w:val="0"/>
          <w:i/>
          <w:sz w:val="24"/>
        </w:rPr>
        <w:t>β</w:t>
      </w:r>
      <w:r>
        <w:rPr>
          <w:rFonts w:ascii="Times New Roman" w:hAnsi="Times New Roman" w:eastAsia="MS Mincho"/>
          <w:b w:val="0"/>
          <w:i w:val="0"/>
          <w:sz w:val="24"/>
        </w:rPr>
        <w:t xml:space="preserve"> について監査することである。</w:t>
      </w:r>
    </w:p>
    <w:p>
      <w:pPr>
        <w:spacing w:after="120" w:line="360" w:lineRule="auto"/>
        <w:ind w:firstLine="480"/>
      </w:pPr>
      <w:r>
        <w:rPr>
          <w:rFonts w:ascii="Times New Roman" w:hAnsi="Times New Roman" w:eastAsia="MS Mincho"/>
          <w:b w:val="0"/>
          <w:i w:val="0"/>
          <w:sz w:val="24"/>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w:t>
      </w:r>
      <w:r>
        <w:rPr>
          <w:rFonts w:ascii="Times New Roman" w:hAnsi="Times New Roman" w:eastAsia="MS Mincho"/>
          <w:b w:val="0"/>
          <w:i/>
          <w:sz w:val="24"/>
        </w:rPr>
        <w:t>μ</w:t>
      </w:r>
      <w:r>
        <w:rPr>
          <w:rFonts w:ascii="Times New Roman" w:hAnsi="Times New Roman" w:eastAsia="MS Mincho"/>
          <w:b w:val="0"/>
          <w:i w:val="0"/>
          <w:sz w:val="24"/>
        </w:rPr>
        <w:t xml:space="preserve"> ヘテロジニアティ、国別 </w:t>
      </w:r>
      <w:r>
        <w:rPr>
          <w:rFonts w:ascii="Times New Roman" w:hAnsi="Times New Roman" w:eastAsia="MS Mincho"/>
          <w:b w:val="0"/>
          <w:i/>
          <w:sz w:val="24"/>
        </w:rPr>
        <w:t>β</w:t>
      </w:r>
      <w:r>
        <w:rPr>
          <w:rFonts w:ascii="Times New Roman" w:hAnsi="Times New Roman" w:eastAsia="MS Mincho"/>
          <w:b w:val="0"/>
          <w:i w:val="0"/>
          <w:sz w:val="24"/>
        </w:rPr>
        <w:t xml:space="preserve"> のドリフト、そして </w:t>
      </w:r>
      <w:r>
        <w:rPr>
          <w:rFonts w:ascii="Times New Roman" w:hAnsi="Times New Roman" w:eastAsia="MS Mincho"/>
          <w:b w:val="0"/>
          <w:i/>
          <w:sz w:val="24"/>
        </w:rPr>
        <w:t>μ</w:t>
      </w:r>
      <w:r>
        <w:rPr>
          <w:rFonts w:ascii="Times New Roman" w:hAnsi="Times New Roman" w:eastAsia="MS Mincho"/>
          <w:b w:val="0"/>
          <w:i w:val="0"/>
          <w:sz w:val="24"/>
        </w:rPr>
        <w:t xml:space="preserve"> と減耗 </w:t>
      </w:r>
      <w:r>
        <w:rPr>
          <w:rFonts w:ascii="Times New Roman" w:hAnsi="Times New Roman" w:eastAsia="MS Mincho"/>
          <w:b w:val="0"/>
          <w:i/>
          <w:sz w:val="24"/>
        </w:rPr>
        <w:t>δ</w:t>
      </w:r>
      <w:r>
        <w:rPr>
          <w:rFonts w:ascii="Times New Roman" w:hAnsi="Times New Roman" w:eastAsia="MS Mincho"/>
          <w:b w:val="0"/>
          <w:i w:val="0"/>
          <w:sz w:val="24"/>
        </w:rPr>
        <w:t xml:space="preserve"> の交互項などの追加パラメータは自然な次の精綻化の層となる。</w:t>
      </w:r>
    </w:p>
    <w:p>
      <w:pPr>
        <w:spacing w:before="360" w:after="120" w:line="360" w:lineRule="auto"/>
      </w:pPr>
      <w:r>
        <w:rPr>
          <w:rFonts w:ascii="Times New Roman" w:hAnsi="Times New Roman" w:eastAsia="MS Mincho"/>
          <w:b/>
          <w:i w:val="0"/>
          <w:sz w:val="24"/>
        </w:rPr>
        <w:t>6.5 医療領域への展望</w:t>
      </w:r>
    </w:p>
    <w:p>
      <w:pPr>
        <w:spacing w:after="120" w:line="360" w:lineRule="auto"/>
        <w:ind w:firstLine="480"/>
      </w:pPr>
      <w:r>
        <w:rPr>
          <w:rFonts w:ascii="Times New Roman" w:hAnsi="Times New Roman" w:eastAsia="MS Mincho"/>
          <w:b w:val="0"/>
          <w:i w:val="0"/>
          <w:sz w:val="24"/>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360" w:after="120" w:line="360" w:lineRule="auto"/>
      </w:pPr>
      <w:r>
        <w:rPr>
          <w:rFonts w:ascii="Times New Roman" w:hAnsi="Times New Roman" w:eastAsia="MS Mincho"/>
          <w:b/>
          <w:i w:val="0"/>
          <w:sz w:val="24"/>
        </w:rPr>
        <w:t>6.6 限界</w:t>
      </w:r>
    </w:p>
    <w:p>
      <w:pPr>
        <w:spacing w:after="120" w:line="360" w:lineRule="auto"/>
        <w:ind w:firstLine="480"/>
      </w:pPr>
      <w:r>
        <w:rPr>
          <w:rFonts w:ascii="Times New Roman" w:hAnsi="Times New Roman" w:eastAsia="MS Mincho"/>
          <w:b w:val="0"/>
          <w:i w:val="0"/>
          <w:sz w:val="24"/>
        </w:rPr>
        <w:t xml:space="preserve">三つの留保を付す。第一に、CWON に対する </w:t>
      </w:r>
      <w:r>
        <w:rPr>
          <w:rFonts w:ascii="Times New Roman" w:hAnsi="Times New Roman" w:eastAsia="MS Mincho"/>
          <w:b w:val="0"/>
          <w:i/>
          <w:sz w:val="24"/>
        </w:rPr>
        <w:t>β</w:t>
      </w:r>
      <w:r>
        <w:rPr>
          <w:rFonts w:ascii="Times New Roman" w:hAnsi="Times New Roman" w:eastAsia="MS Mincho"/>
          <w:b w:val="0"/>
          <w:i w:val="0"/>
          <w:sz w:val="24"/>
        </w:rPr>
        <w:t xml:space="preserve">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構築が取り込まない地価再評価に起因する。第二に、5.4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5.3 節の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で減耗するが、この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自体が PWT の派生推定であり、移行経済では精度が低いことが知られる（Inklaar and Timmer, 2013）。真の </w:t>
      </w:r>
      <w:r>
        <w:rPr>
          <w:rFonts w:ascii="Times New Roman" w:hAnsi="Times New Roman" w:eastAsia="MS Mincho"/>
          <w:b w:val="0"/>
          <w:i/>
          <w:sz w:val="24"/>
        </w:rPr>
        <w:t>δ</w:t>
      </w:r>
      <w:r>
        <w:rPr>
          <w:rFonts w:ascii="Times New Roman" w:hAnsi="Times New Roman" w:eastAsia="MS Mincho"/>
          <w:b w:val="0"/>
          <w:i w:val="0"/>
          <w:sz w:val="24"/>
        </w:rPr>
        <w:t xml:space="preserve"> が自体ドリフトしていれば、我々が </w:t>
      </w:r>
      <w:r>
        <w:rPr>
          <w:rFonts w:ascii="Times New Roman" w:hAnsi="Times New Roman" w:eastAsia="MS Mincho"/>
          <w:b w:val="0"/>
          <w:i/>
          <w:sz w:val="24"/>
        </w:rPr>
        <w:t>μ</w:t>
      </w:r>
      <w:r>
        <w:rPr>
          <w:rFonts w:ascii="Times New Roman" w:hAnsi="Times New Roman" w:eastAsia="MS Mincho"/>
          <w:b w:val="0"/>
          <w:i w:val="0"/>
          <w:sz w:val="24"/>
        </w:rPr>
        <w:t xml:space="preserve">(t) に帰している部分の一部は時変 </w:t>
      </w:r>
      <w:r>
        <w:rPr>
          <w:rFonts w:ascii="Times New Roman" w:hAnsi="Times New Roman" w:eastAsia="MS Mincho"/>
          <w:b w:val="0"/>
          <w:i/>
          <w:sz w:val="24"/>
        </w:rPr>
        <w:t>δ</w:t>
      </w:r>
      <w:r>
        <w:rPr>
          <w:rFonts w:ascii="Times New Roman" w:hAnsi="Times New Roman" w:eastAsia="MS Mincho"/>
          <w:b w:val="0"/>
          <w:i w:val="0"/>
          <w:sz w:val="24"/>
        </w:rPr>
        <w:t>(t) に吸収されうる。この二つのドリフトを切り分けるには、本稿の 39 カ国すべてで一様に利用可能ではない稼働率・資産除却データが必要である。</w:t>
      </w:r>
    </w:p>
    <w:p>
      <w:pPr>
        <w:spacing w:before="360" w:after="120" w:line="360" w:lineRule="auto"/>
      </w:pPr>
      <w:r>
        <w:rPr>
          <w:rFonts w:ascii="Times New Roman" w:hAnsi="Times New Roman" w:eastAsia="MS Mincho"/>
          <w:b/>
          <w:i w:val="0"/>
          <w:sz w:val="28"/>
        </w:rPr>
        <w:t>7 結論</w:t>
      </w:r>
    </w:p>
    <w:p>
      <w:pPr>
        <w:spacing w:after="120" w:line="360" w:lineRule="auto"/>
        <w:ind w:firstLine="480"/>
      </w:pPr>
      <w:r>
        <w:rPr>
          <w:rFonts w:ascii="Times New Roman" w:hAnsi="Times New Roman" w:eastAsia="MS Mincho"/>
          <w:b w:val="0"/>
          <w:i w:val="0"/>
          <w:sz w:val="24"/>
        </w:rPr>
        <w:t>国民所得・国富会計は誤った問いを立ててきた。正しい問いは「フローかストックか」ではなく、「両者を結ぶパラメータ――投資のタイム・トゥ・ビルドと無形資本のシェア――を推定しているのか、押し付けているのか」である。</w:t>
      </w:r>
      <w:r>
        <w:rPr>
          <w:rFonts w:ascii="Times New Roman" w:hAnsi="Times New Roman" w:eastAsia="MS Mincho"/>
          <w:b w:val="0"/>
          <w:i/>
          <w:sz w:val="24"/>
        </w:rPr>
        <w:t>μ</w:t>
      </w:r>
      <w:r>
        <w:rPr>
          <w:rFonts w:ascii="Times New Roman" w:hAnsi="Times New Roman" w:eastAsia="MS Mincho"/>
          <w:b w:val="0"/>
          <w:i w:val="0"/>
          <w:sz w:val="24"/>
        </w:rPr>
        <w:t xml:space="preserve"> = 0、</w:t>
      </w:r>
      <w:r>
        <w:rPr>
          <w:rFonts w:ascii="Times New Roman" w:hAnsi="Times New Roman" w:eastAsia="MS Mincho"/>
          <w:b w:val="0"/>
          <w:i/>
          <w:sz w:val="24"/>
        </w:rPr>
        <w:t>β</w:t>
      </w:r>
      <w:r>
        <w:rPr>
          <w:rFonts w:ascii="Times New Roman" w:hAnsi="Times New Roman" w:eastAsia="MS Mincho"/>
          <w:b w:val="0"/>
          <w:i w:val="0"/>
          <w:sz w:val="24"/>
        </w:rPr>
        <w:t xml:space="preserve">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360" w:lineRule="auto"/>
        <w:ind w:firstLine="480"/>
      </w:pPr>
      <w:r>
        <w:rPr>
          <w:rFonts w:ascii="Times New Roman" w:hAnsi="Times New Roman" w:eastAsia="MS Mincho"/>
          <w:b w:val="0"/>
          <w:i w:val="0"/>
          <w:sz w:val="24"/>
        </w:rPr>
        <w:t>結果から三つの実務的提言が導かれる。第一に、</w:t>
      </w:r>
      <w:r>
        <w:rPr>
          <w:rFonts w:ascii="Times New Roman" w:hAnsi="Times New Roman" w:eastAsia="MS Mincho"/>
          <w:b w:val="0"/>
          <w:i/>
          <w:sz w:val="24"/>
        </w:rPr>
        <w:t>μ</w:t>
      </w:r>
      <w:r>
        <w:rPr>
          <w:rFonts w:ascii="Times New Roman" w:hAnsi="Times New Roman" w:eastAsia="MS Mincho"/>
          <w:b w:val="0"/>
          <w:i w:val="0"/>
          <w:sz w:val="24"/>
        </w:rPr>
        <w:t xml:space="preserve"> を時不変として扱うような国別資本ストック推定の改訂はいずれも暫定的なものとみなすべきである。</w:t>
      </w:r>
      <w:r>
        <w:rPr>
          <w:rFonts w:ascii="Times New Roman" w:hAnsi="Times New Roman" w:eastAsia="MS Mincho"/>
          <w:b w:val="0"/>
          <w:i/>
          <w:sz w:val="24"/>
        </w:rPr>
        <w:t>μ</w:t>
      </w:r>
      <w:r>
        <w:rPr>
          <w:rFonts w:ascii="Times New Roman" w:hAnsi="Times New Roman" w:eastAsia="MS Mincho"/>
          <w:b w:val="0"/>
          <w:i w:val="0"/>
          <w:sz w:val="24"/>
        </w:rPr>
        <w:t>(t)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値を併せて公表し、利用者が両勘定の内的整合性の有無を一目で確認できるようにすべきである。第三に、方法論的には、TFP 成長率を残差の第一候補に置き続けなければならない原理的理由は存在しない。</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360" w:after="120" w:line="360" w:lineRule="auto"/>
      </w:pPr>
      <w:r>
        <w:rPr>
          <w:rFonts w:ascii="Times New Roman" w:hAnsi="Times New Roman" w:eastAsia="MS Mincho"/>
          <w:b/>
          <w:i w:val="0"/>
          <w:sz w:val="28"/>
        </w:rPr>
        <w:t>表</w:t>
      </w:r>
    </w:p>
    <w:p>
      <w:pPr>
        <w:spacing w:after="120" w:line="360" w:lineRule="auto"/>
        <w:ind w:firstLine="480"/>
      </w:pPr>
      <w:r>
        <w:rPr>
          <w:rFonts w:ascii="Times New Roman" w:hAnsi="Times New Roman" w:eastAsia="MS Mincho"/>
          <w:b/>
          <w:i w:val="0"/>
          <w:sz w:val="24"/>
        </w:rPr>
        <w:t>表 1.</w:t>
      </w:r>
      <w:r>
        <w:rPr>
          <w:rFonts w:ascii="Times New Roman" w:hAnsi="Times New Roman" w:eastAsia="MS Mincho"/>
          <w:b w:val="0"/>
          <w:i w:val="0"/>
          <w:sz w:val="24"/>
        </w:rPr>
        <w:t xml:space="preserve"> M0–M4: 39 カ国における標本内・標本外パフォーマンス</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i w:val="0"/>
          <w:sz w:val="24"/>
        </w:rPr>
        <w:t>表 2.</w:t>
      </w:r>
      <w:r>
        <w:rPr>
          <w:rFonts w:ascii="Times New Roman" w:hAnsi="Times New Roman" w:eastAsia="MS Mincho"/>
          <w:b w:val="0"/>
          <w:i w:val="0"/>
          <w:sz w:val="24"/>
        </w:rPr>
        <w:t xml:space="preserve"> 人口・資本対応</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360" w:lineRule="auto"/>
        <w:ind w:firstLine="480"/>
      </w:pPr>
      <w:r>
        <w:rPr>
          <w:rFonts w:ascii="Times New Roman" w:hAnsi="Times New Roman" w:eastAsia="MS Mincho"/>
          <w:b/>
          <w:i w:val="0"/>
          <w:sz w:val="24"/>
        </w:rPr>
        <w:t>表 3.</w:t>
      </w:r>
      <w:r>
        <w:rPr>
          <w:rFonts w:ascii="Times New Roman" w:hAnsi="Times New Roman" w:eastAsia="MS Mincho"/>
          <w:b w:val="0"/>
          <w:i w:val="0"/>
          <w:sz w:val="24"/>
        </w:rPr>
        <w:t xml:space="preserve"> 関係型PIM診断：M0, M1, M2, M4 における </w:t>
      </w:r>
      <w:r>
        <w:rPr>
          <w:rFonts w:ascii="Times New Roman" w:hAnsi="Times New Roman" w:eastAsia="MS Mincho"/>
          <w:b w:val="0"/>
          <w:i/>
          <w:sz w:val="24"/>
        </w:rPr>
        <w:t>ρ</w:t>
      </w:r>
      <w:r>
        <w:rPr>
          <w:rFonts w:ascii="Times New Roman" w:hAnsi="Times New Roman" w:eastAsia="MS Mincho"/>
          <w:b w:val="0"/>
          <w:i w:val="0"/>
          <w:sz w:val="24"/>
        </w:rPr>
        <w:t>̂₂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表 4.</w:t>
      </w:r>
      <w:r>
        <w:rPr>
          <w:rFonts w:ascii="Times New Roman" w:hAnsi="Times New Roman" w:eastAsia="MS Mincho"/>
          <w:b w:val="0"/>
          <w:i w:val="0"/>
          <w:sz w:val="24"/>
        </w:rPr>
        <w:t xml:space="preserve"> 拡張標本外指標：方向精度および CWON 軌跡 RMSE</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表 5.</w:t>
      </w:r>
      <w:r>
        <w:rPr>
          <w:rFonts w:ascii="Times New Roman" w:hAnsi="Times New Roman" w:eastAsia="MS Mincho"/>
          <w:b w:val="0"/>
          <w:i w:val="0"/>
          <w:sz w:val="24"/>
        </w:rPr>
        <w:t xml:space="preserve"> テンポ・アーティファクトの TFP 成長率分散シェア：M0 → M2（テンポ）および M0 → M4（統合）における Var(</w:t>
      </w:r>
      <w:r>
        <w:rPr>
          <w:rFonts w:ascii="Times New Roman" w:hAnsi="Times New Roman" w:eastAsia="MS Mincho"/>
          <w:b w:val="0"/>
          <w:i/>
          <w:sz w:val="24"/>
        </w:rPr>
        <w:t>Δ</w:t>
      </w:r>
      <w:r>
        <w:rPr>
          <w:rFonts w:ascii="Times New Roman" w:hAnsi="Times New Roman" w:eastAsia="MS Mincho"/>
          <w:b w:val="0"/>
          <w:i w:val="0"/>
          <w:sz w:val="24"/>
        </w:rPr>
        <w:t xml:space="preserve"> log TFP) の縮小率（%）</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360" w:lineRule="auto"/>
      </w:pPr>
      <w:r>
        <w:rPr>
          <w:rFonts w:ascii="Times New Roman" w:hAnsi="Times New Roman" w:eastAsia="MS Mincho"/>
          <w:b/>
          <w:i w:val="0"/>
          <w:sz w:val="28"/>
        </w:rPr>
        <w:t>参考文献</w:t>
      </w:r>
    </w:p>
    <w:p>
      <w:pPr>
        <w:spacing w:after="120" w:line="36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w:t>
      </w:r>
      <w:r>
        <w:rPr>
          <w:rFonts w:ascii="Times New Roman" w:hAnsi="Times New Roman" w:eastAsia="MS Mincho"/>
          <w:b w:val="0"/>
          <w:i/>
          <w:sz w:val="24"/>
        </w:rPr>
        <w:t>30</w:t>
      </w:r>
      <w:r>
        <w:rPr>
          <w:rFonts w:ascii="Times New Roman" w:hAnsi="Times New Roman" w:eastAsia="MS Mincho"/>
          <w:b w:val="0"/>
          <w:i w:val="0"/>
          <w:sz w:val="24"/>
        </w:rPr>
        <w:t>(4), 889–920.</w:t>
      </w:r>
    </w:p>
    <w:p>
      <w:pPr>
        <w:spacing w:after="120" w:line="360" w:lineRule="auto"/>
        <w:ind w:firstLine="480"/>
      </w:pPr>
      <w:r>
        <w:rPr>
          <w:rFonts w:ascii="Times New Roman" w:hAnsi="Times New Roman" w:eastAsia="MS Mincho"/>
          <w:b w:val="0"/>
          <w:i w:val="0"/>
          <w:sz w:val="24"/>
        </w:rPr>
        <w:t xml:space="preserve">Arrow, K. J., Dasgupta, P., Goulder, L. H., Mumford, K. J., &amp;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w:t>
      </w:r>
      <w:r>
        <w:rPr>
          <w:rFonts w:ascii="Times New Roman" w:hAnsi="Times New Roman" w:eastAsia="MS Mincho"/>
          <w:b w:val="0"/>
          <w:i/>
          <w:sz w:val="24"/>
        </w:rPr>
        <w:t>17</w:t>
      </w:r>
      <w:r>
        <w:rPr>
          <w:rFonts w:ascii="Times New Roman" w:hAnsi="Times New Roman" w:eastAsia="MS Mincho"/>
          <w:b w:val="0"/>
          <w:i w:val="0"/>
          <w:sz w:val="24"/>
        </w:rPr>
        <w:t>(3), 317–353. https://doi.org/10.1017/S1355770X12000137</w:t>
      </w:r>
    </w:p>
    <w:p>
      <w:pPr>
        <w:spacing w:after="120" w:line="360" w:lineRule="auto"/>
        <w:ind w:firstLine="480"/>
      </w:pPr>
      <w:r>
        <w:rPr>
          <w:rFonts w:ascii="Times New Roman" w:hAnsi="Times New Roman" w:eastAsia="MS Mincho"/>
          <w:b w:val="0"/>
          <w:i w:val="0"/>
          <w:sz w:val="24"/>
        </w:rPr>
        <w:t xml:space="preserve">Bongaarts, J., &amp;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24</w:t>
      </w:r>
      <w:r>
        <w:rPr>
          <w:rFonts w:ascii="Times New Roman" w:hAnsi="Times New Roman" w:eastAsia="MS Mincho"/>
          <w:b w:val="0"/>
          <w:i w:val="0"/>
          <w:sz w:val="24"/>
        </w:rPr>
        <w:t>(2), 271–291. https://doi.org/10.2307/2807974</w:t>
      </w:r>
    </w:p>
    <w:p>
      <w:pPr>
        <w:spacing w:after="120" w:line="360" w:lineRule="auto"/>
        <w:ind w:firstLine="480"/>
      </w:pPr>
      <w:r>
        <w:rPr>
          <w:rFonts w:ascii="Times New Roman" w:hAnsi="Times New Roman" w:eastAsia="MS Mincho"/>
          <w:b w:val="0"/>
          <w:i w:val="0"/>
          <w:sz w:val="24"/>
        </w:rPr>
        <w:t xml:space="preserve">Bongaarts, J., &amp;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38</w:t>
      </w:r>
      <w:r>
        <w:rPr>
          <w:rFonts w:ascii="Times New Roman" w:hAnsi="Times New Roman" w:eastAsia="MS Mincho"/>
          <w:b w:val="0"/>
          <w:i w:val="0"/>
          <w:sz w:val="24"/>
        </w:rPr>
        <w:t>(1), 83–120. https://doi.org/10.1111/j.1728-4457.2012.00473.x</w:t>
      </w:r>
    </w:p>
    <w:p>
      <w:pPr>
        <w:spacing w:after="120" w:line="360" w:lineRule="auto"/>
        <w:ind w:firstLine="480"/>
      </w:pPr>
      <w:r>
        <w:rPr>
          <w:rFonts w:ascii="Times New Roman" w:hAnsi="Times New Roman" w:eastAsia="MS Mincho"/>
          <w:b w:val="0"/>
          <w:i w:val="0"/>
          <w:sz w:val="24"/>
        </w:rPr>
        <w:t xml:space="preserve">Brass, W. (1971). On the scale of mortality. In W. Brass (Ed.), </w:t>
      </w:r>
      <w:r>
        <w:rPr>
          <w:rFonts w:ascii="Times New Roman" w:hAnsi="Times New Roman" w:eastAsia="MS Mincho"/>
          <w:b w:val="0"/>
          <w:i/>
          <w:sz w:val="24"/>
        </w:rPr>
        <w:t>Biological aspects of demography</w:t>
      </w:r>
      <w:r>
        <w:rPr>
          <w:rFonts w:ascii="Times New Roman" w:hAnsi="Times New Roman" w:eastAsia="MS Mincho"/>
          <w:b w:val="0"/>
          <w:i w:val="0"/>
          <w:sz w:val="24"/>
        </w:rPr>
        <w:t xml:space="preserve"> (pp. 69–110). Taylor and Francis.</w:t>
      </w:r>
    </w:p>
    <w:p>
      <w:pPr>
        <w:spacing w:after="120" w:line="360" w:lineRule="auto"/>
        <w:ind w:firstLine="480"/>
      </w:pPr>
      <w:r>
        <w:rPr>
          <w:rFonts w:ascii="Times New Roman" w:hAnsi="Times New Roman" w:eastAsia="MS Mincho"/>
          <w:b w:val="0"/>
          <w:i w:val="0"/>
          <w:sz w:val="24"/>
        </w:rPr>
        <w:t xml:space="preserve">Christiano, L. J., &amp; Todd, R. 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w:t>
      </w:r>
      <w:r>
        <w:rPr>
          <w:rFonts w:ascii="Times New Roman" w:hAnsi="Times New Roman" w:eastAsia="MS Mincho"/>
          <w:b w:val="0"/>
          <w:i/>
          <w:sz w:val="24"/>
        </w:rPr>
        <w:t>20</w:t>
      </w:r>
      <w:r>
        <w:rPr>
          <w:rFonts w:ascii="Times New Roman" w:hAnsi="Times New Roman" w:eastAsia="MS Mincho"/>
          <w:b w:val="0"/>
          <w:i w:val="0"/>
          <w:sz w:val="24"/>
        </w:rPr>
        <w:t>(1), 14–27.</w:t>
      </w:r>
    </w:p>
    <w:p>
      <w:pPr>
        <w:spacing w:after="120" w:line="360" w:lineRule="auto"/>
        <w:ind w:firstLine="480"/>
      </w:pPr>
      <w:r>
        <w:rPr>
          <w:rFonts w:ascii="Times New Roman" w:hAnsi="Times New Roman" w:eastAsia="MS Mincho"/>
          <w:b w:val="0"/>
          <w:i w:val="0"/>
          <w:sz w:val="24"/>
        </w:rPr>
        <w:t xml:space="preserve">Corrado, C., Hulten, C., &amp; Sichel, D. (2005). Measuring capital and technology: An expanded framework. In C. Corrado, J. Haltiwanger, &amp; D.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xml:space="preserve"> (pp. 11–46). University of Chicago Press. https://doi.org/10.7208/chicago/9780226116174.003.0002</w:t>
      </w:r>
    </w:p>
    <w:p>
      <w:pPr>
        <w:spacing w:after="120" w:line="360" w:lineRule="auto"/>
        <w:ind w:firstLine="480"/>
      </w:pPr>
      <w:r>
        <w:rPr>
          <w:rFonts w:ascii="Times New Roman" w:hAnsi="Times New Roman" w:eastAsia="MS Mincho"/>
          <w:b w:val="0"/>
          <w:i w:val="0"/>
          <w:sz w:val="24"/>
        </w:rPr>
        <w:t xml:space="preserve">Corrado, C., Hulten, C., &amp;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w:t>
      </w:r>
      <w:r>
        <w:rPr>
          <w:rFonts w:ascii="Times New Roman" w:hAnsi="Times New Roman" w:eastAsia="MS Mincho"/>
          <w:b w:val="0"/>
          <w:i/>
          <w:sz w:val="24"/>
        </w:rPr>
        <w:t>55</w:t>
      </w:r>
      <w:r>
        <w:rPr>
          <w:rFonts w:ascii="Times New Roman" w:hAnsi="Times New Roman" w:eastAsia="MS Mincho"/>
          <w:b w:val="0"/>
          <w:i w:val="0"/>
          <w:sz w:val="24"/>
        </w:rPr>
        <w:t>(3), 661–685. https://doi.org/10.1111/j.1475-4991.2009.00343.x</w:t>
      </w:r>
    </w:p>
    <w:p>
      <w:pPr>
        <w:spacing w:after="120" w:line="360" w:lineRule="auto"/>
        <w:ind w:firstLine="480"/>
      </w:pPr>
      <w:r>
        <w:rPr>
          <w:rFonts w:ascii="Times New Roman" w:hAnsi="Times New Roman" w:eastAsia="MS Mincho"/>
          <w:b w:val="0"/>
          <w:i w:val="0"/>
          <w:sz w:val="24"/>
        </w:rPr>
        <w:t>Corrado, C., Haskel, J., Jona-Lasinio, C., &amp; Iommi, M. (2016). Intangible investment in the EU and US before and since the Great Recession and its contribution to productivity growth (EIB Working Papers 2016/08). European Investment Bank.</w:t>
      </w:r>
    </w:p>
    <w:p>
      <w:pPr>
        <w:spacing w:after="120" w:line="360" w:lineRule="auto"/>
        <w:ind w:firstLine="480"/>
      </w:pPr>
      <w:r>
        <w:rPr>
          <w:rFonts w:ascii="Times New Roman" w:hAnsi="Times New Roman" w:eastAsia="MS Mincho"/>
          <w:b w:val="0"/>
          <w:i w:val="0"/>
          <w:sz w:val="24"/>
        </w:rPr>
        <w:t xml:space="preserve">Corrado, C., Haskel, J., Iommi, M., &amp; Jona-Lasinio, C. (2020). Intangible capital, innovation and productivity à la Jorgenson: Evidence from Europe and the US. In B.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xml:space="preserve"> (pp. 363–385). Academic Press. https://doi.org/10.1016/B978-0-12-817596-5.00019-2</w:t>
      </w:r>
    </w:p>
    <w:p>
      <w:pPr>
        <w:spacing w:after="120" w:line="36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HM Treasury.</w:t>
      </w:r>
    </w:p>
    <w:p>
      <w:pPr>
        <w:spacing w:after="120" w:line="360" w:lineRule="auto"/>
        <w:ind w:firstLine="480"/>
      </w:pPr>
      <w:r>
        <w:rPr>
          <w:rFonts w:ascii="Times New Roman" w:hAnsi="Times New Roman" w:eastAsia="MS Mincho"/>
          <w:b w:val="0"/>
          <w:i w:val="0"/>
          <w:sz w:val="24"/>
        </w:rPr>
        <w:t xml:space="preserve">de Rassenfosse, G., &amp; Jaffe, A. B. (2018). Intellectual property and public-science spillovers: An overview and research directions. </w:t>
      </w:r>
      <w:r>
        <w:rPr>
          <w:rFonts w:ascii="Times New Roman" w:hAnsi="Times New Roman" w:eastAsia="MS Mincho"/>
          <w:b w:val="0"/>
          <w:i/>
          <w:sz w:val="24"/>
        </w:rPr>
        <w:t>Review of Economic Research on Copyright Issues</w:t>
      </w:r>
      <w:r>
        <w:rPr>
          <w:rFonts w:ascii="Times New Roman" w:hAnsi="Times New Roman" w:eastAsia="MS Mincho"/>
          <w:b w:val="0"/>
          <w:i w:val="0"/>
          <w:sz w:val="24"/>
        </w:rPr>
        <w:t xml:space="preserve">, </w:t>
      </w:r>
      <w:r>
        <w:rPr>
          <w:rFonts w:ascii="Times New Roman" w:hAnsi="Times New Roman" w:eastAsia="MS Mincho"/>
          <w:b w:val="0"/>
          <w:i/>
          <w:sz w:val="24"/>
        </w:rPr>
        <w:t>15</w:t>
      </w:r>
      <w:r>
        <w:rPr>
          <w:rFonts w:ascii="Times New Roman" w:hAnsi="Times New Roman" w:eastAsia="MS Mincho"/>
          <w:b w:val="0"/>
          <w:i w:val="0"/>
          <w:sz w:val="24"/>
        </w:rPr>
        <w:t>(1), 1–22.</w:t>
      </w:r>
    </w:p>
    <w:p>
      <w:pPr>
        <w:spacing w:after="120" w:line="360" w:lineRule="auto"/>
        <w:ind w:firstLine="480"/>
      </w:pPr>
      <w:r>
        <w:rPr>
          <w:rFonts w:ascii="Times New Roman" w:hAnsi="Times New Roman" w:eastAsia="MS Mincho"/>
          <w:b w:val="0"/>
          <w:i w:val="0"/>
          <w:sz w:val="24"/>
        </w:rPr>
        <w:t xml:space="preserve">Edge, R. 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w:t>
      </w:r>
      <w:r>
        <w:rPr>
          <w:rFonts w:ascii="Times New Roman" w:hAnsi="Times New Roman" w:eastAsia="MS Mincho"/>
          <w:b w:val="0"/>
          <w:i/>
          <w:sz w:val="24"/>
        </w:rPr>
        <w:t>54</w:t>
      </w:r>
      <w:r>
        <w:rPr>
          <w:rFonts w:ascii="Times New Roman" w:hAnsi="Times New Roman" w:eastAsia="MS Mincho"/>
          <w:b w:val="0"/>
          <w:i w:val="0"/>
          <w:sz w:val="24"/>
        </w:rPr>
        <w:t>(6), 1644–1669. https://doi.org/10.1016/j.jmoneco.2006.07.005</w:t>
      </w:r>
    </w:p>
    <w:p>
      <w:pPr>
        <w:spacing w:after="120" w:line="360" w:lineRule="auto"/>
        <w:ind w:firstLine="480"/>
      </w:pPr>
      <w:r>
        <w:rPr>
          <w:rFonts w:ascii="Times New Roman" w:hAnsi="Times New Roman" w:eastAsia="MS Mincho"/>
          <w:b w:val="0"/>
          <w:i w:val="0"/>
          <w:sz w:val="24"/>
        </w:rPr>
        <w:t xml:space="preserve">Feenstra, R. C., Inklaar, R., &amp; Timmer, M. 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105</w:t>
      </w:r>
      <w:r>
        <w:rPr>
          <w:rFonts w:ascii="Times New Roman" w:hAnsi="Times New Roman" w:eastAsia="MS Mincho"/>
          <w:b w:val="0"/>
          <w:i w:val="0"/>
          <w:sz w:val="24"/>
        </w:rPr>
        <w:t>(10), 3150–3182. https://doi.org/10.1257/aer.20130954</w:t>
      </w:r>
    </w:p>
    <w:p>
      <w:pPr>
        <w:spacing w:after="120" w:line="360" w:lineRule="auto"/>
        <w:ind w:firstLine="480"/>
      </w:pPr>
      <w:r>
        <w:rPr>
          <w:rFonts w:ascii="Times New Roman" w:hAnsi="Times New Roman" w:eastAsia="MS Mincho"/>
          <w:b w:val="0"/>
          <w:i w:val="0"/>
          <w:sz w:val="24"/>
        </w:rPr>
        <w:t xml:space="preserve">Goldstein, J. R., Lutz, W., &amp;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(4), 699–707. https://doi.org/10.1111/j.1728-4457.2003.00699.x</w:t>
      </w:r>
    </w:p>
    <w:p>
      <w:pPr>
        <w:spacing w:after="120" w:line="36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1324–1330.</w:t>
      </w:r>
    </w:p>
    <w:p>
      <w:pPr>
        <w:spacing w:after="120" w:line="360" w:lineRule="auto"/>
        <w:ind w:firstLine="480"/>
      </w:pPr>
      <w:r>
        <w:rPr>
          <w:rFonts w:ascii="Times New Roman" w:hAnsi="Times New Roman" w:eastAsia="MS Mincho"/>
          <w:b w:val="0"/>
          <w:i w:val="0"/>
          <w:sz w:val="24"/>
        </w:rPr>
        <w:t xml:space="preserve">Hamano, M., &amp; Zhao, Y. (2017). Fiscal sustainability and land prices in Japan. </w:t>
      </w:r>
      <w:r>
        <w:rPr>
          <w:rFonts w:ascii="Times New Roman" w:hAnsi="Times New Roman" w:eastAsia="MS Mincho"/>
          <w:b w:val="0"/>
          <w:i/>
          <w:sz w:val="24"/>
        </w:rPr>
        <w:t>Journal of the Japanese and International Economies</w:t>
      </w:r>
      <w:r>
        <w:rPr>
          <w:rFonts w:ascii="Times New Roman" w:hAnsi="Times New Roman" w:eastAsia="MS Mincho"/>
          <w:b w:val="0"/>
          <w:i w:val="0"/>
          <w:sz w:val="24"/>
        </w:rPr>
        <w:t xml:space="preserve">, </w:t>
      </w:r>
      <w:r>
        <w:rPr>
          <w:rFonts w:ascii="Times New Roman" w:hAnsi="Times New Roman" w:eastAsia="MS Mincho"/>
          <w:b w:val="0"/>
          <w:i/>
          <w:sz w:val="24"/>
        </w:rPr>
        <w:t>46</w:t>
      </w:r>
      <w:r>
        <w:rPr>
          <w:rFonts w:ascii="Times New Roman" w:hAnsi="Times New Roman" w:eastAsia="MS Mincho"/>
          <w:b w:val="0"/>
          <w:i w:val="0"/>
          <w:sz w:val="24"/>
        </w:rPr>
        <w:t>, 17–29. https://doi.org/10.1016/j.jjie.2017.09.001</w:t>
      </w:r>
    </w:p>
    <w:p>
      <w:pPr>
        <w:spacing w:after="120" w:line="360" w:lineRule="auto"/>
        <w:ind w:firstLine="480"/>
      </w:pPr>
      <w:r>
        <w:rPr>
          <w:rFonts w:ascii="Times New Roman" w:hAnsi="Times New Roman" w:eastAsia="MS Mincho"/>
          <w:b w:val="0"/>
          <w:i w:val="0"/>
          <w:sz w:val="24"/>
        </w:rPr>
        <w:t xml:space="preserve">Haskel, J., &amp;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Haskel, J., &amp;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Hulten, C. 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82</w:t>
      </w:r>
      <w:r>
        <w:rPr>
          <w:rFonts w:ascii="Times New Roman" w:hAnsi="Times New Roman" w:eastAsia="MS Mincho"/>
          <w:b w:val="0"/>
          <w:i w:val="0"/>
          <w:sz w:val="24"/>
        </w:rPr>
        <w:t>(4), 964–980.</w:t>
      </w:r>
    </w:p>
    <w:p>
      <w:pPr>
        <w:spacing w:after="120" w:line="360" w:lineRule="auto"/>
        <w:ind w:firstLine="480"/>
      </w:pPr>
      <w:r>
        <w:rPr>
          <w:rFonts w:ascii="Times New Roman" w:hAnsi="Times New Roman" w:eastAsia="MS Mincho"/>
          <w:b w:val="0"/>
          <w:i w:val="0"/>
          <w:sz w:val="24"/>
        </w:rPr>
        <w:t>Inklaar, R., &amp; Timmer, M. P. (2013). Capital, labor and TFP in PWT 8.0 (Research Memorandum GD-144). Groningen Growth and Development Centre.</w:t>
      </w:r>
    </w:p>
    <w:p>
      <w:pPr>
        <w:spacing w:after="120" w:line="360" w:lineRule="auto"/>
        <w:ind w:firstLine="480"/>
      </w:pPr>
      <w:r>
        <w:rPr>
          <w:rFonts w:ascii="Times New Roman" w:hAnsi="Times New Roman" w:eastAsia="MS Mincho"/>
          <w:b w:val="0"/>
          <w:i w:val="0"/>
          <w:sz w:val="24"/>
        </w:rPr>
        <w:t xml:space="preserve">Jorgenson, D. W., &amp;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249–283. https://doi.org/10.2307/2296675</w:t>
      </w:r>
    </w:p>
    <w:p>
      <w:pPr>
        <w:spacing w:after="120" w:line="360" w:lineRule="auto"/>
        <w:ind w:firstLine="480"/>
      </w:pPr>
      <w:r>
        <w:rPr>
          <w:rFonts w:ascii="Times New Roman" w:hAnsi="Times New Roman" w:eastAsia="MS Mincho"/>
          <w:b w:val="0"/>
          <w:i w:val="0"/>
          <w:sz w:val="24"/>
        </w:rPr>
        <w:t xml:space="preserve">Jorgenson, D. 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56</w:t>
      </w:r>
      <w:r>
        <w:rPr>
          <w:rFonts w:ascii="Times New Roman" w:hAnsi="Times New Roman" w:eastAsia="MS Mincho"/>
          <w:b w:val="0"/>
          <w:i w:val="0"/>
          <w:sz w:val="24"/>
        </w:rPr>
        <w:t>(3), 867–919. https://doi.org/10.1257/jel.20171358</w:t>
      </w:r>
    </w:p>
    <w:p>
      <w:pPr>
        <w:spacing w:after="120" w:line="360" w:lineRule="auto"/>
        <w:ind w:firstLine="480"/>
      </w:pPr>
      <w:r>
        <w:rPr>
          <w:rFonts w:ascii="Times New Roman" w:hAnsi="Times New Roman" w:eastAsia="MS Mincho"/>
          <w:b w:val="0"/>
          <w:i w:val="0"/>
          <w:sz w:val="24"/>
        </w:rPr>
        <w:t xml:space="preserve">Jorgenson, D. W., Ho, M. S., &amp; Stiroh, K. 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MIT Press.</w:t>
      </w:r>
    </w:p>
    <w:p>
      <w:pPr>
        <w:spacing w:after="120" w:line="360" w:lineRule="auto"/>
        <w:ind w:firstLine="480"/>
      </w:pPr>
      <w:r>
        <w:rPr>
          <w:rFonts w:ascii="Times New Roman" w:hAnsi="Times New Roman" w:eastAsia="MS Mincho"/>
          <w:b w:val="0"/>
          <w:i w:val="0"/>
          <w:sz w:val="24"/>
        </w:rPr>
        <w:t xml:space="preserve">Kaboski, J. 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(3), 509–527. https://doi.org/10.1016/j.jedc.2004.02.004</w:t>
      </w:r>
    </w:p>
    <w:p>
      <w:pPr>
        <w:spacing w:after="120" w:line="360" w:lineRule="auto"/>
        <w:ind w:firstLine="480"/>
      </w:pPr>
      <w:r>
        <w:rPr>
          <w:rFonts w:ascii="Times New Roman" w:hAnsi="Times New Roman" w:eastAsia="MS Mincho"/>
          <w:b w:val="0"/>
          <w:i w:val="0"/>
          <w:sz w:val="24"/>
        </w:rPr>
        <w:t>Koeva, P. (2000). The facts about time-to-build (IMF Working Paper 00/138). International Monetary Fund.</w:t>
      </w:r>
    </w:p>
    <w:p>
      <w:pPr>
        <w:spacing w:after="120" w:line="360" w:lineRule="auto"/>
        <w:ind w:firstLine="480"/>
      </w:pPr>
      <w:r>
        <w:rPr>
          <w:rFonts w:ascii="Times New Roman" w:hAnsi="Times New Roman" w:eastAsia="MS Mincho"/>
          <w:b w:val="0"/>
          <w:i w:val="0"/>
          <w:sz w:val="24"/>
        </w:rPr>
        <w:t xml:space="preserve">Kohler, H.-P., Billari, F. C., &amp; Ortega, J. 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28</w:t>
      </w:r>
      <w:r>
        <w:rPr>
          <w:rFonts w:ascii="Times New Roman" w:hAnsi="Times New Roman" w:eastAsia="MS Mincho"/>
          <w:b w:val="0"/>
          <w:i w:val="0"/>
          <w:sz w:val="24"/>
        </w:rPr>
        <w:t>(4), 641–680. https://doi.org/10.1111/j.1728-4457.2002.00641.x</w:t>
      </w:r>
    </w:p>
    <w:p>
      <w:pPr>
        <w:spacing w:after="120" w:line="360" w:lineRule="auto"/>
        <w:ind w:firstLine="480"/>
      </w:pPr>
      <w:r>
        <w:rPr>
          <w:rFonts w:ascii="Times New Roman" w:hAnsi="Times New Roman" w:eastAsia="MS Mincho"/>
          <w:b w:val="0"/>
          <w:i w:val="0"/>
          <w:sz w:val="24"/>
        </w:rPr>
        <w:t xml:space="preserve">Kydland, F. E., &amp; Prescott, E. 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w:t>
      </w:r>
      <w:r>
        <w:rPr>
          <w:rFonts w:ascii="Times New Roman" w:hAnsi="Times New Roman" w:eastAsia="MS Mincho"/>
          <w:b w:val="0"/>
          <w:i/>
          <w:sz w:val="24"/>
        </w:rPr>
        <w:t>50</w:t>
      </w:r>
      <w:r>
        <w:rPr>
          <w:rFonts w:ascii="Times New Roman" w:hAnsi="Times New Roman" w:eastAsia="MS Mincho"/>
          <w:b w:val="0"/>
          <w:i w:val="0"/>
          <w:sz w:val="24"/>
        </w:rPr>
        <w:t>(6), 1345–1370. https://doi.org/10.2307/1913386</w:t>
      </w:r>
    </w:p>
    <w:p>
      <w:pPr>
        <w:spacing w:after="120" w:line="360" w:lineRule="auto"/>
        <w:ind w:firstLine="480"/>
      </w:pPr>
      <w:r>
        <w:rPr>
          <w:rFonts w:ascii="Times New Roman" w:hAnsi="Times New Roman" w:eastAsia="MS Mincho"/>
          <w:b w:val="0"/>
          <w:i w:val="0"/>
          <w:sz w:val="24"/>
        </w:rPr>
        <w:t xml:space="preserve">Lange, G.-M., Wodon, Q., &amp;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World Bank. https://doi.org/10.1596/978-1-4648-1046-6</w:t>
      </w:r>
    </w:p>
    <w:p>
      <w:pPr>
        <w:spacing w:after="120" w:line="360" w:lineRule="auto"/>
        <w:ind w:firstLine="480"/>
      </w:pPr>
      <w:r>
        <w:rPr>
          <w:rFonts w:ascii="Times New Roman" w:hAnsi="Times New Roman" w:eastAsia="MS Mincho"/>
          <w:b w:val="0"/>
          <w:i w:val="0"/>
          <w:sz w:val="24"/>
        </w:rPr>
        <w:t xml:space="preserve">Managi, S., &amp;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Routledge.</w:t>
      </w:r>
    </w:p>
    <w:p>
      <w:pPr>
        <w:spacing w:after="120" w:line="36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w:t>
      </w:r>
      <w:r>
        <w:rPr>
          <w:rFonts w:ascii="Times New Roman" w:hAnsi="Times New Roman" w:eastAsia="MS Mincho"/>
          <w:b w:val="0"/>
          <w:i/>
          <w:sz w:val="24"/>
        </w:rPr>
        <w:t>33</w:t>
      </w:r>
      <w:r>
        <w:rPr>
          <w:rFonts w:ascii="Times New Roman" w:hAnsi="Times New Roman" w:eastAsia="MS Mincho"/>
          <w:b w:val="0"/>
          <w:i w:val="0"/>
          <w:sz w:val="24"/>
        </w:rPr>
        <w:t>(2), 127–132.</w:t>
      </w:r>
    </w:p>
    <w:p>
      <w:pPr>
        <w:spacing w:after="120" w:line="360" w:lineRule="auto"/>
        <w:ind w:firstLine="480"/>
      </w:pPr>
      <w:r>
        <w:rPr>
          <w:rFonts w:ascii="Times New Roman" w:hAnsi="Times New Roman" w:eastAsia="MS Mincho"/>
          <w:b w:val="0"/>
          <w:i w:val="0"/>
          <w:sz w:val="24"/>
        </w:rPr>
        <w:t>Nishimura, K. G., &amp; Saita, Y. (2005). Land prices in Japan: Historical and international comparisons (Bank of Japan Review 2005-E-5). Bank of Japan.</w:t>
      </w:r>
    </w:p>
    <w:p>
      <w:pPr>
        <w:spacing w:after="120" w:line="36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OECD Publishing. https://doi.org/10.1787/9789264193307-en</w:t>
      </w:r>
    </w:p>
    <w:p>
      <w:pPr>
        <w:spacing w:after="120" w:line="360" w:lineRule="auto"/>
        <w:ind w:firstLine="480"/>
      </w:pPr>
      <w:r>
        <w:rPr>
          <w:rFonts w:ascii="Times New Roman" w:hAnsi="Times New Roman" w:eastAsia="MS Mincho"/>
          <w:b w:val="0"/>
          <w:i w:val="0"/>
          <w:sz w:val="24"/>
        </w:rPr>
        <w:t xml:space="preserve">Roth, F. (2023). Intangible capital and productivity growth in the EU: A panel data perspective.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w:t>
      </w:r>
      <w:r>
        <w:rPr>
          <w:rFonts w:ascii="Times New Roman" w:hAnsi="Times New Roman" w:eastAsia="MS Mincho"/>
          <w:b w:val="0"/>
          <w:i/>
          <w:sz w:val="24"/>
        </w:rPr>
        <w:t>13</w:t>
      </w:r>
      <w:r>
        <w:rPr>
          <w:rFonts w:ascii="Times New Roman" w:hAnsi="Times New Roman" w:eastAsia="MS Mincho"/>
          <w:b w:val="0"/>
          <w:i w:val="0"/>
          <w:sz w:val="24"/>
        </w:rPr>
        <w:t>.</w:t>
      </w:r>
    </w:p>
    <w:p>
      <w:pPr>
        <w:spacing w:after="120" w:line="360" w:lineRule="auto"/>
        <w:ind w:firstLine="480"/>
      </w:pPr>
      <w:r>
        <w:rPr>
          <w:rFonts w:ascii="Times New Roman" w:hAnsi="Times New Roman" w:eastAsia="MS Mincho"/>
          <w:b w:val="0"/>
          <w:i w:val="0"/>
          <w:sz w:val="24"/>
        </w:rPr>
        <w:t xml:space="preserve">Salomon, J. A., Wang, H., Freeman, M. K., Vos, T., Flaxman, A. D., Lopez, A. D., &amp; Murray, C. J. L. (2012). Healthy life expectancy for 187 countries, 1990–2010: A systematic analysis for the Global Burden Disease Study 2010. </w:t>
      </w:r>
      <w:r>
        <w:rPr>
          <w:rFonts w:ascii="Times New Roman" w:hAnsi="Times New Roman" w:eastAsia="MS Mincho"/>
          <w:b w:val="0"/>
          <w:i/>
          <w:sz w:val="24"/>
        </w:rPr>
        <w:t>The Lancet</w:t>
      </w:r>
      <w:r>
        <w:rPr>
          <w:rFonts w:ascii="Times New Roman" w:hAnsi="Times New Roman" w:eastAsia="MS Mincho"/>
          <w:b w:val="0"/>
          <w:i w:val="0"/>
          <w:sz w:val="24"/>
        </w:rPr>
        <w:t xml:space="preserve">, </w:t>
      </w:r>
      <w:r>
        <w:rPr>
          <w:rFonts w:ascii="Times New Roman" w:hAnsi="Times New Roman" w:eastAsia="MS Mincho"/>
          <w:b w:val="0"/>
          <w:i/>
          <w:sz w:val="24"/>
        </w:rPr>
        <w:t>380</w:t>
      </w:r>
      <w:r>
        <w:rPr>
          <w:rFonts w:ascii="Times New Roman" w:hAnsi="Times New Roman" w:eastAsia="MS Mincho"/>
          <w:b w:val="0"/>
          <w:i w:val="0"/>
          <w:sz w:val="24"/>
        </w:rPr>
        <w:t>(9859), 2144–2162. https://doi.org/10.1016/S0140-6736(12)61690-0</w:t>
      </w:r>
    </w:p>
    <w:p>
      <w:pPr>
        <w:spacing w:after="120" w:line="360" w:lineRule="auto"/>
        <w:ind w:firstLine="480"/>
      </w:pPr>
      <w:r>
        <w:rPr>
          <w:rFonts w:ascii="Times New Roman" w:hAnsi="Times New Roman" w:eastAsia="MS Mincho"/>
          <w:b w:val="0"/>
          <w:i w:val="0"/>
          <w:sz w:val="24"/>
        </w:rPr>
        <w:t xml:space="preserve">Smets, F., &amp;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97</w:t>
      </w:r>
      <w:r>
        <w:rPr>
          <w:rFonts w:ascii="Times New Roman" w:hAnsi="Times New Roman" w:eastAsia="MS Mincho"/>
          <w:b w:val="0"/>
          <w:i w:val="0"/>
          <w:sz w:val="24"/>
        </w:rPr>
        <w:t>(3), 586–606. https://doi.org/10.1257/aer.97.3.586</w:t>
      </w:r>
    </w:p>
    <w:p>
      <w:pPr>
        <w:spacing w:after="120" w:line="360" w:lineRule="auto"/>
        <w:ind w:firstLine="480"/>
      </w:pPr>
      <w:r>
        <w:rPr>
          <w:rFonts w:ascii="Times New Roman" w:hAnsi="Times New Roman" w:eastAsia="MS Mincho"/>
          <w:b w:val="0"/>
          <w:i w:val="0"/>
          <w:sz w:val="24"/>
        </w:rPr>
        <w:t xml:space="preserve">Solow, R. 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w:t>
      </w:r>
      <w:r>
        <w:rPr>
          <w:rFonts w:ascii="Times New Roman" w:hAnsi="Times New Roman" w:eastAsia="MS Mincho"/>
          <w:b w:val="0"/>
          <w:i/>
          <w:sz w:val="24"/>
        </w:rPr>
        <w:t>39</w:t>
      </w:r>
      <w:r>
        <w:rPr>
          <w:rFonts w:ascii="Times New Roman" w:hAnsi="Times New Roman" w:eastAsia="MS Mincho"/>
          <w:b w:val="0"/>
          <w:i w:val="0"/>
          <w:sz w:val="24"/>
        </w:rPr>
        <w:t>(3), 312–320. https://doi.org/10.2307/1926047</w:t>
      </w:r>
    </w:p>
    <w:p>
      <w:pPr>
        <w:spacing w:after="120" w:line="360" w:lineRule="auto"/>
        <w:ind w:firstLine="480"/>
      </w:pPr>
      <w:r>
        <w:rPr>
          <w:rFonts w:ascii="Times New Roman" w:hAnsi="Times New Roman" w:eastAsia="MS Mincho"/>
          <w:b w:val="0"/>
          <w:i w:val="0"/>
          <w:sz w:val="24"/>
        </w:rPr>
        <w:t xml:space="preserve">Stiglitz, J. E., Sen, A., &amp;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Commission on the Measurement of Economic Performance and Social Progress.</w:t>
      </w:r>
    </w:p>
    <w:p>
      <w:pPr>
        <w:spacing w:after="120" w:line="360" w:lineRule="auto"/>
        <w:ind w:firstLine="480"/>
      </w:pPr>
      <w:r>
        <w:rPr>
          <w:rFonts w:ascii="Times New Roman" w:hAnsi="Times New Roman" w:eastAsia="MS Mincho"/>
          <w:b w:val="0"/>
          <w:i w:val="0"/>
          <w:sz w:val="24"/>
        </w:rPr>
        <w:t xml:space="preserve">UNECE. (2014). </w:t>
      </w:r>
      <w:r>
        <w:rPr>
          <w:rFonts w:ascii="Times New Roman" w:hAnsi="Times New Roman" w:eastAsia="MS Mincho"/>
          <w:b w:val="0"/>
          <w:i/>
          <w:sz w:val="24"/>
        </w:rPr>
        <w:t>Framework and suggested indicators to measure sustainable development</w:t>
      </w:r>
      <w:r>
        <w:rPr>
          <w:rFonts w:ascii="Times New Roman" w:hAnsi="Times New Roman" w:eastAsia="MS Mincho"/>
          <w:b w:val="0"/>
          <w:i w:val="0"/>
          <w:sz w:val="24"/>
        </w:rPr>
        <w:t>.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