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4</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 Whether prescribing variation reflects differences in symptom burden (warranted variation) or practice patterns (unwarranted variation) has not been investigated.</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 Symptom prevalence from the Comprehensive Survey of Living Conditions (CSLC 2022) was used as a demand-side benchmark.</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CSLC symptom prevalence varied only 1.29-fold and showed no correlation with prescribing (r=0.03, P=0.85), indicating supply-sensitive unwarranted variation.</w:t>
      </w:r>
    </w:p>
    <w:p>
      <w:r>
        <w:rPr>
          <w:b/>
        </w:rPr>
        <w:t xml:space="preserve">Conclusions: </w:t>
      </w:r>
      <w:r>
        <w:t>Nearly twofold within-country variation in pain-related prescribing persists after age-sex standardisation and is dissociated from symptom burden, meeting the criteria for Wennberg unwarranted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1,2</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4</w:t>
      </w:r>
      <w:r>
        <w:t xml:space="preserve"> Recent studies have also documented up to 1.6-fold regional variation in chronic pain prevalence</w:t>
      </w:r>
      <w:r>
        <w:rPr>
          <w:sz w:val="20"/>
          <w:vertAlign w:val="superscript"/>
        </w:rPr>
        <w:t>5</w:t>
      </w:r>
      <w:r>
        <w:t xml:space="preserve"> and 4-fold variation in cancer opioid prescribing.</w:t>
      </w:r>
      <w:r>
        <w:rPr>
          <w:sz w:val="20"/>
          <w:vertAlign w:val="superscript"/>
        </w:rPr>
        <w:t>6</w:t>
      </w:r>
      <w:r>
        <w:t xml:space="preserve"> However, no study has comprehensively mapped pain-related prescribing variation across all 47 prefectures using the population-complete NDB.</w:t>
      </w:r>
    </w:p>
    <w:p>
      <w:r>
        <w:t>Wennberg's framework distinguishes warranted variation—driven by differences in disease burden—from unwarranted variation driven by supply-side factors such as physician practice style, local norms, and resource availability.</w:t>
      </w:r>
      <w:r>
        <w:rPr>
          <w:sz w:val="20"/>
          <w:vertAlign w:val="superscript"/>
        </w:rPr>
        <w:t>1,2</w:t>
      </w:r>
      <w:r>
        <w:t xml:space="preserve"> To apply this framework, an independent demand-side benchmark is needed. The Comprehensive Survey of Living Conditions (CSLC), a nationally representative household survey conducted by the Ministry of Health, Labour and Welfare, provides prefecture-level self-reported symptom prevalence rates that can serve as such a benchmark.</w:t>
      </w:r>
      <w:r>
        <w:rPr>
          <w:sz w:val="20"/>
          <w:vertAlign w:val="superscript"/>
        </w:rPr>
        <w:t>7</w:t>
      </w:r>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four objectives: (1) map regional variation in acute perioperative analgesic prescribing across 47 prefectures; (2) examine outpatient neuropathic pain drug prescribing as a chronic pain proxy after adjustment for confounding diseases; (3) quantify the contribution of confounders to the apparent regional pattern; and (4) evaluate whether prescribing variation is dissociated from symptom burden, thereby meeting the criteria for unwarranted variation.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8</w:t>
      </w:r>
      <w:r>
        <w:t xml:space="preserve"> and the REporting of studies Conducted using Observational Routinely-collected health Data (RECORD) extension.</w:t>
      </w:r>
      <w:r>
        <w:rPr>
          <w:sz w:val="20"/>
          <w:vertAlign w:val="superscript"/>
        </w:rPr>
        <w:t>9</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Demand-side benchmark: Comprehensive Survey of Living Conditions</w:t>
      </w:r>
    </w:p>
    <w:p>
      <w:r>
        <w:t>Prefecture-level self-reported symptom prevalence rates were obtained from the Comprehensive Survey of Living Conditions (CSLC; Kokumin Seikatsu Kiso Chousa) 2022 edition.</w:t>
      </w:r>
      <w:r>
        <w:rPr>
          <w:sz w:val="20"/>
          <w:vertAlign w:val="superscript"/>
        </w:rPr>
        <w:t>7</w:t>
      </w:r>
      <w:r>
        <w:t xml:space="preserve"> The CSLC is a nationally representative household survey covering approximately 300,000 households, with symptom prevalence rates (yuushosha-ritsu) published per 1,000 population for each of the 47 prefectures. Symptom prevalence, reflecting the proportion of the population reporting any health complaint (musculoskeletal pain being the most common category nationally), was used as a demand-side proxy for healthcare need. A demand–supply mismatch index was computed as the difference between z-standardised prescribing rates and z-standardised symptom prevalence rates for each prefecture. Positive values indicate relative over-supply; negative values indicate relative under-supply.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4</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are coloured by regional block.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β=32.6, P=0.150</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β=15.7, P=0.229</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β=0.08, P=0.863</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β=31.5, P=0.149</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Demand–supply dissociation</w:t>
      </w:r>
    </w:p>
    <w:p>
      <w:r>
        <w:t>CSLC symptom prevalence ranged from 244.0 (東京都) to 314.9 per 1,000 population (兵庫県), a 1.29-fold difference (mean 287.4, SD 17.7). In contrast, acute analgesic prescribing varied 1.97-fold and neuropathic pain prescribing per capita varied 2.0-fold (after age-sex standardisation). Thus, prescribing heterogeneity substantially exceeded the modest variation in symptom burden.</w:t>
      </w:r>
    </w:p>
    <w:p>
      <w:r>
        <w:t>CSLC symptom prevalence showed no significant correlation with acute analgesic prescribing (r=0.029, P=0.846; Spearman ρ=-0.032, P=0.829; Figure 4) or with neuropathic pain prescribing per capita (r=0.076, P=0.610). The absence of correlation indicates that prescribing variation is not explained by differences in self-reported symptom burden across prefectures.</w:t>
      </w:r>
    </w:p>
    <w:p>
      <w:pPr>
        <w:spacing w:before="360" w:after="120"/>
        <w:jc w:val="center"/>
      </w:pPr>
      <w:r>
        <w:drawing>
          <wp:inline xmlns:a="http://schemas.openxmlformats.org/drawingml/2006/main" xmlns:pic="http://schemas.openxmlformats.org/drawingml/2006/picture">
            <wp:extent cx="5029200" cy="3503507"/>
            <wp:docPr id="4" name="Picture 4"/>
            <wp:cNvGraphicFramePr>
              <a:graphicFrameLocks noChangeAspect="1"/>
            </wp:cNvGraphicFramePr>
            <a:graphic>
              <a:graphicData uri="http://schemas.openxmlformats.org/drawingml/2006/picture">
                <pic:pic>
                  <pic:nvPicPr>
                    <pic:cNvPr id="0" name="fig_cslc_demand_supply_en.png"/>
                    <pic:cNvPicPr/>
                  </pic:nvPicPr>
                  <pic:blipFill>
                    <a:blip r:embed="rId13"/>
                    <a:stretch>
                      <a:fillRect/>
                    </a:stretch>
                  </pic:blipFill>
                  <pic:spPr>
                    <a:xfrm>
                      <a:off x="0" y="0"/>
                      <a:ext cx="5029200" cy="3503507"/>
                    </a:xfrm>
                    <a:prstGeom prst="rect"/>
                  </pic:spPr>
                </pic:pic>
              </a:graphicData>
            </a:graphic>
          </wp:inline>
        </w:drawing>
      </w:r>
    </w:p>
    <w:p>
      <w:pPr>
        <w:spacing w:before="120" w:after="240"/>
      </w:pPr>
      <w:r>
        <w:rPr>
          <w:b/>
          <w:sz w:val="20"/>
        </w:rPr>
        <w:t xml:space="preserve">Figure 4. </w:t>
      </w:r>
      <w:r>
        <w:rPr>
          <w:sz w:val="20"/>
        </w:rPr>
        <w:t>Demand–supply dissociation: CSLC symptom prevalence rate (per 1,000 population) vs acute analgesic prescribing per surgery across 47 prefectures. Each dot represents one prefecture, coloured by regional block. The near-zero correlation (r=0.03) indicates that prescribing variation is dissociated from symptom burden.</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and the first to formally evaluate whether this variation meets the criteria for Wennberg unwarranted variation by benchmarking it against an independent demand-side measure. Four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4</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most novel finding is that prescribing variation was dissociated from symptom burden. CSLC symptom prevalence varied only 1.29-fold and showed no correlation with analgesic prescribing (r=0.03, P=0.85). This dissociation formally meets the criteria for unwarranted variation under Wennberg's framework:</w:t>
      </w:r>
      <w:r>
        <w:rPr>
          <w:sz w:val="20"/>
          <w:vertAlign w:val="superscript"/>
        </w:rPr>
        <w:t>1</w:t>
      </w:r>
      <w:r>
        <w:t xml:space="preserve"> the supply side (prescribing) varies independently of the demand side (symptom burden), indicating that practice patterns rather than disease burden drive the observed heterogeneity. This finding parallels international evidence showing that medical practice variation is frequently supply-sensitive rather than demand-driven.</w:t>
      </w:r>
      <w:r>
        <w:rPr>
          <w:sz w:val="20"/>
          <w:vertAlign w:val="superscript"/>
        </w:rPr>
        <w:t>2</w:t>
      </w:r>
      <w:r/>
    </w:p>
    <w:p>
      <w:r>
        <w:t>Fourth,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10</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11</w:t>
      </w:r>
      <w:r>
        <w:t xml:space="preserve"> and Campbell and Edwards identified that clinician expectations about cultural pain behaviour can lead to systematic under- or over-treatment.</w:t>
      </w:r>
      <w:r>
        <w:rPr>
          <w:sz w:val="20"/>
          <w:vertAlign w:val="superscript"/>
        </w:rPr>
        <w:t>12</w:t>
      </w:r>
      <w:r>
        <w:t xml:space="preserve"> Japan is often characterised as culturally homogeneous with patients who are stoic about pain.</w:t>
      </w:r>
      <w:r>
        <w:rPr>
          <w:sz w:val="20"/>
          <w:vertAlign w:val="superscript"/>
        </w:rPr>
        <w:t>13,14</w:t>
      </w:r>
      <w:r>
        <w:t xml:space="preserve"> Yet our data demonstrate that even within this putatively uniform population, prescribing patterns vary nearly twofold—a degree of heterogeneity that makes any national-level characterisation clinically misleading. The Pfizer Japan 2017 survey provides additional corroboration: the proportion of chronic pain patients "enduring pain without seeking treatment" ranged from 48.7% (Osaka) to 81.6% (Yamanashi) across prefectures, and Akita Prefecture (Tohoku region)—often stereotyped as stoic—had the lowest proportion who believed pain "should be endured" (60.2%), contradicting the cultural stereotype.</w:t>
      </w:r>
      <w:r>
        <w:rPr>
          <w:sz w:val="20"/>
          <w:vertAlign w:val="superscript"/>
        </w:rPr>
        <w:t>15</w:t>
      </w:r>
      <w:r/>
    </w:p>
    <w:p>
      <w:r>
        <w:t>The revised IASP definition describes pain as inherently subjective.</w:t>
      </w:r>
      <w:r>
        <w:rPr>
          <w:sz w:val="20"/>
          <w:vertAlign w:val="superscript"/>
        </w:rPr>
        <w:t>16</w:t>
      </w:r>
      <w:r>
        <w:t xml:space="preserve"> No regional label or cultural generalisation can substitute for individualised pain assessment. Objective nociception monitoring may help standardise perioperative assessment.</w:t>
      </w:r>
      <w:r>
        <w:rPr>
          <w:sz w:val="20"/>
          <w:vertAlign w:val="superscript"/>
        </w:rPr>
        <w:t>17</w:t>
      </w:r>
      <w:r>
        <w:t xml:space="preserve"> Our demand–supply analysis reinforces this point: prefectures with identical symptom burden show widely divergent prescribing, indicating that clinician-level factors rather than patient-level need determine treatment intensity.</w:t>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 perioperative design that neutralises healthcare access as a confounder, and the triangulation of NDB prescribing data with an independent household survey (CSLC) for demand–supply analysis.</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 The CSLC symptom prevalence rate is a general indicator of self-reported health complaints, not specific to pain; however, musculoskeletal pain symptoms (lower back pain and stiff shoulders) are the most common complaints nationally, and the CSLC rate thus serves as a reasonable ecological proxy for pain-related demand.</w:t>
      </w:r>
    </w:p>
    <w:p>
      <w:pPr>
        <w:pStyle w:val="Heading2"/>
      </w:pPr>
      <w:r>
        <w:rPr>
          <w:rFonts w:ascii="Times New Roman" w:hAnsi="Times New Roman"/>
          <w:color w:val="000000"/>
        </w:rPr>
        <w:t>Conclusion</w:t>
      </w:r>
    </w:p>
    <w:p>
      <w:r>
        <w:t>Pain-related prescribing varies nearly twofold across Japan's 47 prefectures, persisting after age-sex standardisation and dissociated from symptom burden. This pattern meets the criteria for Wennberg unwarranted variation, suggesting that supply-side factors drive prescribing heterogeneity.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Corallo AN, Croxford R, Goodman DC, Bryan EL, Srivastava D, Stukel TA. A systematic review of medical practice variation in OECD countries. Health Policy. 2014;114:5–14. doi:10.1016/j.healthpol.2013.08.002</w:t>
      </w:r>
    </w:p>
    <w:p>
      <w:r>
        <w:rPr>
          <w:b/>
        </w:rPr>
        <w:t xml:space="preserve">3. </w:t>
      </w:r>
      <w:r>
        <w:t>Ministry of Health, Labour and Welfare. NDB Open Data, 10th edition. https://www.mhlw.go.jp/stf/seisakunitsuite/bunya/0000177221_00016.html. Accessed January 15, 2025.</w:t>
      </w:r>
    </w:p>
    <w:p>
      <w:r>
        <w:rPr>
          <w:b/>
        </w:rPr>
        <w:t xml:space="preserve">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5.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 doi:10.1093/jjco/hyaf149</w:t>
      </w:r>
    </w:p>
    <w:p>
      <w:r>
        <w:rPr>
          <w:b/>
        </w:rPr>
        <w:t xml:space="preserve">7. </w:t>
      </w:r>
      <w:r>
        <w:t>Ministry of Health, Labour and Welfare. Comprehensive Survey of Living Conditions (Kokumin Seikatsu Kiso Chousa), 2022. https://www.mhlw.go.jp/toukei/saikin/hw/k-tyosa/k-tyosa22/. Accessed March 1, 2025.</w:t>
      </w:r>
    </w:p>
    <w:p>
      <w:r>
        <w:rPr>
          <w:b/>
        </w:rPr>
        <w:t xml:space="preserve">8. </w:t>
      </w:r>
      <w:r>
        <w:t>von Elm E, Altman DG, Egger M, et al. The Strengthening the Reporting of Observational Studies in Epidemiology (STROBE) statement: guidelines for reporting observational studies. Lancet. 2007;370:1453–7. doi:10.1016/S0140-6736(07)61602-X</w:t>
      </w:r>
    </w:p>
    <w:p>
      <w:r>
        <w:rPr>
          <w:b/>
        </w:rPr>
        <w:t xml:space="preserve">9. </w:t>
      </w:r>
      <w:r>
        <w:t>Benchimol EI, Smeeth L, Guttmann A, et al. The REporting of studies Conducted using Observational Routinely-collected health Data (RECORD) statement. PLoS Med. 2015;12:e1001885. doi:10.1371/journal.pmed.1001885</w:t>
      </w:r>
    </w:p>
    <w:p>
      <w:r>
        <w:rPr>
          <w:b/>
        </w:rPr>
        <w:t xml:space="preserve">10. </w:t>
      </w:r>
      <w:r>
        <w:t>Kehlet H, Jensen TS, Woolf CJ. Persistent postsurgical pain: risk factors and prevention. Lancet. 2006;367:1618–25. doi:10.1016/S0140-6736(06)68700-X</w:t>
      </w:r>
    </w:p>
    <w:p>
      <w:r>
        <w:rPr>
          <w:b/>
        </w:rPr>
        <w:t xml:space="preserve">11. </w:t>
      </w:r>
      <w:r>
        <w:t>Anderson KO, Green CR, Payne R. Racial and ethnic disparities in pain: causes and consequences of unequal care. J Pain. 2009;10:1187–204. doi:10.1016/j.jpain.2009.10.002</w:t>
      </w:r>
    </w:p>
    <w:p>
      <w:r>
        <w:rPr>
          <w:b/>
        </w:rPr>
        <w:t xml:space="preserve">12. </w:t>
      </w:r>
      <w:r>
        <w:t>Campbell CM, Edwards RR. Ethnic differences in pain and pain management. Pain Manag. 2012;2:219–30. doi:10.2217/pmt.12.7</w:t>
      </w:r>
    </w:p>
    <w:p>
      <w:r>
        <w:rPr>
          <w:b/>
        </w:rPr>
        <w:t xml:space="preserve">13. </w:t>
      </w:r>
      <w:r>
        <w:t>Callister LC. Cultural influences on pain perceptions and behaviors. Home Health Care Manag Pract. 2003;15:207–11. doi:10.1177/1084822302250687</w:t>
      </w:r>
    </w:p>
    <w:p>
      <w:r>
        <w:rPr>
          <w:b/>
        </w:rPr>
        <w:t xml:space="preserve">14. </w:t>
      </w:r>
      <w:r>
        <w:t>Hobara M. Beliefs about appropriate pain behavior: cross-cultural and sex differences between Japanese and Euro-Americans. Eur J Pain. 2005;9:389–93. doi:10.1016/j.ejpain.2004.09.006</w:t>
      </w:r>
    </w:p>
    <w:p>
      <w:r>
        <w:rPr>
          <w:b/>
        </w:rPr>
        <w:t xml:space="preserve">15. </w:t>
      </w:r>
      <w:r>
        <w:t>Pfizer Japan Inc. 47-prefecture survey on chronic pain (2012 vs 2017). https://www.pfizer.co.jp/pfizer/company/press/2017/2017_08_23.html. Accessed May 28, 2022. Archived at: https://web.archive.org/web/20220528073616/https://www.pfizer.co.jp/pfizer/company/press/2017/2017_08_23.html</w:t>
      </w:r>
    </w:p>
    <w:p>
      <w:r>
        <w:rPr>
          <w:b/>
        </w:rPr>
        <w:t xml:space="preserve">16. </w:t>
      </w:r>
      <w:r>
        <w:t>Raja SN, Carr DB, Cohen M, et al. The revised International Association for the Study of Pain definition of pain: concepts, challenges, and compromises. Pain. 2020;161:1976–82. doi:10.1097/j.pain.0000000000001939</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doi:10.12688/f1000research.146215.1</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are coloured by regional block.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p>
      <w:r>
        <w:rPr>
          <w:b/>
          <w:sz w:val="22"/>
        </w:rPr>
        <w:t xml:space="preserve">Figure 4. </w:t>
      </w:r>
      <w:r>
        <w:rPr>
          <w:sz w:val="22"/>
        </w:rPr>
        <w:t>Demand–supply dissociation: CSLC symptom prevalence rate (per 1,000 population) vs acute analgesic prescribing per surgery across 47 prefectures. Each dot represents one prefecture, coloured by regional block. The near-zero correlation (r=0.03, P=0.85) indicates that prescribing variation is dissociated from symptom burden.</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