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analysis of published curves quantifying the heterogeneity that hinders a unified retention intervention</w:t>
      </w:r>
    </w:p>
    <w:p>
      <w:pPr>
        <w:jc w:val="center"/>
      </w:pPr>
      <w:r>
        <w:rPr>
          <w:i/>
        </w:rPr>
        <w:t>Short communication</w:t>
      </w:r>
    </w:p>
    <w:p>
      <w:r>
        <w:rPr>
          <w:b/>
          <w:sz w:val="26"/>
        </w:rPr>
        <w:t>Abstract</w:t>
      </w:r>
    </w:p>
    <w:p>
      <w:pPr>
        <w:spacing w:before="120"/>
      </w:pPr>
      <w:r>
        <w:rPr>
          <w:b/>
        </w:rPr>
        <w:t>Background</w:t>
      </w:r>
      <w:r>
        <w:t xml:space="preserve"> Loss to follow-up (LTFU) during tuberculosis (TB) treatment is a major barrier to cure and transmission control</w:t>
      </w:r>
      <w:r>
        <w:rPr>
          <w:vertAlign w:val="superscript"/>
        </w:rPr>
        <w:t>1</w:t>
      </w:r>
      <w:r>
        <w:t>. Its determinants are multilevel and context-dependent</w:t>
      </w:r>
      <w:r>
        <w:rPr>
          <w:vertAlign w:val="superscript"/>
        </w:rPr>
        <w:t>2</w:t>
      </w:r>
      <w:r>
        <w:t xml:space="preserve"> and interventions to prevent it show inconsistent, setting-specific effectiveness</w:t>
      </w:r>
      <w:r>
        <w:rPr>
          <w:vertAlign w:val="superscript"/>
        </w:rPr>
        <w:t>3</w:t>
      </w:r>
      <w:r>
        <w:t>, but whether the *timing* of LTFU follows a consistent hazard shape across settings has not been quantified.</w:t>
      </w:r>
    </w:p>
    <w:p>
      <w:pPr>
        <w:spacing w:before="80"/>
      </w:pPr>
      <w:r>
        <w:rPr>
          <w:b/>
        </w:rPr>
        <w:t>Methods</w:t>
      </w:r>
      <w:r>
        <w:t xml:space="preserve"> We fitted two-parameter Weibull cumulative-incidence models F(t)=1−exp(−(t/λ)^k) to four real, published time-to-event curves recovered by figure digitization: two TB treatment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The shape parameter k (k&gt;1 increasing-failure-rate [IFR]; k&lt;1 decreasing-failure-rate [DFR]) was estimated with a bootstrap 95% confidence interval (CI) and compared with exponential and log-normal fits by the Akaike information criterion (AIC).</w:t>
      </w:r>
    </w:p>
    <w:p>
      <w:pPr>
        <w:spacing w:before="80"/>
      </w:pPr>
      <w:r>
        <w:rPr>
          <w:b/>
        </w:rPr>
        <w:t>Results</w:t>
      </w:r>
      <w:r>
        <w:t xml:space="preserve"> The shape parameter diverged within TB: Ethiopia k=1.68 (95% CI 1.29–1.95) (IFR) versus China k=0.44 (95% CI 0.43–0.50) (DFR) — opposite sides of k=1 from only two cohorts, with non-identical outcome definitions. Both comparators were DFR (HIV/ART k=0.63 (95% CI 0.54–0.73); antipsychotic k=0.49 (95% CI 0.42–0.57)), i.e. mutually consistent.</w:t>
      </w:r>
    </w:p>
    <w:p>
      <w:pPr>
        <w:spacing w:before="80"/>
      </w:pPr>
      <w:r>
        <w:rPr>
          <w:b/>
        </w:rPr>
        <w:t>Conclusions</w:t>
      </w:r>
      <w:r>
        <w:t xml:space="preserve"> TB LTFU is not uniformly increasing-hazard: its hazard shape is heterogeneous across countries, plausibly because the country-specific mechanisms that generate LTFU differ. This gives a compact, reproducible quantification of why pooled TB evidence and a one-size retention intervention are hard to build, whereas the comparator interventions may pool more readily. The cause of the divergence is unknown and warrants individual-level study.</w:t>
      </w:r>
    </w:p>
    <w:p>
      <w:pPr>
        <w:spacing w:before="80"/>
      </w:pPr>
      <w:r>
        <w:rPr>
          <w:b/>
        </w:rPr>
        <w:t>Keywords</w:t>
      </w:r>
      <w:r>
        <w:t xml:space="preserve"> Tuberculosis; Loss to follow-up; Treatment adherence; Weibull; Hazard function; Survival analysis; Health systems</w:t>
      </w:r>
    </w:p>
    <w:p>
      <w:r>
        <w:rPr>
          <w:b/>
          <w:sz w:val="26"/>
        </w:rPr>
        <w:t>Background</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pPr>
        <w:spacing w:before="120"/>
      </w:pPr>
      <w:r>
        <w:t>The observation has practical implications for TB programmes, particularly in resource-limited, high-burden settings where retention resources are scarce and must be targeted. Because the hazard shape encodes *when* patients disengage, it maps directly onto the timing of adherence support: a front-loaded (DFR) setting argues for concentrating counselling, financial or social support in the intensive phase, whereas a late-accelerating (IFR) setting argues for sustained or intensified support in the continuation phase. A retention package optimized for one hazard shape will be mistimed in the other, which offers a concrete, quantitative reason why globally standardized adherence interventions have shown inconsistent effects across programmes</w:t>
      </w:r>
      <w:r>
        <w:rPr>
          <w:vertAlign w:val="superscript"/>
        </w:rPr>
        <w:t>3</w:t>
      </w:r>
      <w:r>
        <w:t>. Routinely reporting the time-to-LTFU curve — not only the final cumulative proportion — would let national programmes locate their own hazard shape and time support accordingly, and would make cross-country evidence poolable in a way that a single summary statistic cannot.</w:t>
      </w:r>
    </w:p>
    <w:p>
      <w:r>
        <w:rPr>
          <w:b/>
          <w:sz w:val="26"/>
        </w:rPr>
        <w:t>Limitations</w:t>
      </w:r>
    </w:p>
    <w:p>
      <w:pPr>
        <w:spacing w:before="120"/>
      </w:pPr>
      <w:r>
        <w:t>Only two TB and two comparator curves met the bar of a genuinely time-resolved, openly available dropout curve, so the analysis is small and hypothesis-generating. Estimates come from digitized aggregate curves, not individual patient data; the Ethiopian estimate is a competing-risk *subdistribution*-hazard shape; the antipsychotic cohort is small (n≈42) and illustrative; KM plateaus reflect administrative censoring. The findings are hypothesis-generating, not confirmatory.</w:t>
      </w:r>
    </w:p>
    <w:p>
      <w:r>
        <w:rPr>
          <w:b/>
          <w:sz w:val="26"/>
        </w:rPr>
        <w:t>Conclusions</w:t>
      </w:r>
    </w:p>
    <w:p>
      <w:pPr>
        <w:spacing w:before="120"/>
      </w:pPr>
      <w:r>
        <w:t>Across the few TB cohorts that publish a time-resolved LTFU curve, the Weibull hazard shape is not consistent: two national settings fell on opposite sides of k=1, whereas two unrelated chronic-treatment comparators were mutually consistent (both DFR). The heterogeneity of TB LTFU is therefore visible in the hazard shape itself and offers a compact, reproducible explanation for why pooled TB evidence and a single unified retention strategy are difficult to construct. Individual-level data with harmonized LTFU definitions are needed to identify what drives the divergence.</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