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</w:pPr>
      <w:r>
        <w:t>22 August 2026</w:t>
      </w:r>
    </w:p>
    <w:p>
      <w:pPr>
        <w:spacing w:line="276" w:lineRule="auto" w:after="120"/>
      </w:pPr>
      <w:r>
        <w:t>The Editor-in-Chief, Environmental Health Perspectives</w:t>
      </w:r>
    </w:p>
    <w:p>
      <w:pPr>
        <w:spacing w:line="276" w:lineRule="auto" w:after="120"/>
      </w:pPr>
      <w:r>
        <w:t>Dear Editor-in-Chief,</w:t>
      </w:r>
    </w:p>
    <w:p>
      <w:pPr>
        <w:spacing w:line="276" w:lineRule="auto" w:after="120"/>
      </w:pPr>
      <w:r>
        <w:t>We submit for your consideration our manuscript, "Ambient heat as an under-recognised risk factor for US traffic-crash mortality: a distributed-lag analysis with road-safety implications", as a Research Article.</w:t>
      </w:r>
    </w:p>
    <w:p>
      <w:pPr>
        <w:spacing w:line="276" w:lineRule="auto" w:after="120"/>
      </w:pPr>
      <w:r>
        <w:t>Statement of Contribution and Environmental-Health Significance: Ambient heat is a well-established environmental exposure that increases all-cause and cardiovascular mortality, but its contribution to fatal road traffic crashes has been largely overlooked. Using only public data, this ecological time-series study shows that days hotter than the local seasonal norm carry an acute, same-day excess of US traffic-crash deaths. The excess survives adjustment for aggregate driving activity and remains in the primary VIF-screened full-controls model (VIF threshold 10; retaining state population as a log offset, daily precipitation and estimated wet-bulb globe temperature, and dropping state vehicle-miles travelled and the humidex and heat-index anomalies); a stricter VIF &lt; 5 screen and an unscreened all-controls model are reported as sensitivity analyses. The heat-stress metrics, tested individually, yield variable cumulative estimates consistent with collinearity. The excess is concentrated in heat-exposed open-air road users (motorcyclists, pedestrians and cyclists), and is comparable in magnitude to all officially recorded direct-heat deaths. Because these deaths continue to be coded as ordinary traffic crashes, the heat contribution remains invisible to heat-mortality surveillance and road-safety statistics, suggesting an uncounted environmental-health burden that would grow under continued warming and could be targeted by heat-aware road safety messaging and shared-mobility heat-adaptation measures.</w:t>
      </w:r>
    </w:p>
    <w:p>
      <w:pPr>
        <w:spacing w:line="276" w:lineRule="auto" w:after="120"/>
      </w:pPr>
      <w:r>
        <w:t>This work advances the environmental health literature by (1) quantifying a hidden, climate-sensitive mortality burden in a cause-of-death category normally outside the scope of heat research, (2) showing that the open-air road-user gradient is consistent with direct heat exposure, and (3) providing reproducible national estimates and projections to inform climate adaptation and transportation safety policy. The analysis is intentionally transparent: all data and code are public at https://github.com/bougtoir/heat-accidents-mortality, and the pipeline is fully reproducible (make all for data and figures, then make ehp for the manuscript and submission package), with no hard-coded results.</w:t>
      </w:r>
    </w:p>
    <w:p>
      <w:pPr>
        <w:spacing w:line="276" w:lineRule="auto" w:after="120"/>
      </w:pPr>
      <w:r>
        <w:t>The manuscript is original, is not under consideration elsewhere, and all authors approve submission. We declare no competing interests. We confirm that this manuscript has not been posted to a preprint server.</w:t>
      </w:r>
    </w:p>
    <w:p>
      <w:pPr>
        <w:spacing w:line="276" w:lineRule="auto" w:after="120"/>
      </w:pPr>
      <w:r>
        <w:t>We look forward to your consideration.</w:t>
      </w:r>
    </w:p>
    <w:p>
      <w:pPr>
        <w:spacing w:line="276" w:lineRule="auto" w:after="120"/>
      </w:pPr>
      <w:r>
        <w:t>Yours sincerely,</w:t>
      </w:r>
    </w:p>
    <w:p>
      <w:pPr>
        <w:spacing w:line="276" w:lineRule="auto" w:after="120"/>
      </w:pPr>
      <w:r>
        <w:t xml:space="preserve"> Tatsuki Onishi, on behalf of all authors</w:t>
      </w:r>
    </w:p>
    <w:p>
      <w:pPr>
        <w:spacing w:line="276" w:lineRule="auto" w:after="120"/>
      </w:pPr>
      <w:r>
        <w:t>Data Science and AI Innovation Research Promotion Center</w:t>
      </w:r>
    </w:p>
    <w:p>
      <w:pPr>
        <w:spacing w:line="276" w:lineRule="auto" w:after="120"/>
      </w:pPr>
      <w:r>
        <w:t>Shiga University of Medical Science</w:t>
      </w:r>
    </w:p>
    <w:p>
      <w:pPr>
        <w:spacing w:line="276" w:lineRule="auto" w:after="120"/>
      </w:pPr>
      <w:r>
        <w:t>Seta Tsukinowa-cho, Otsu, Shiga 520-2192, Japan</w:t>
      </w:r>
    </w:p>
    <w:p>
      <w:pPr>
        <w:spacing w:line="276" w:lineRule="auto" w:after="120"/>
      </w:pPr>
      <w:r>
        <w:t>E-mail: bougtoir@gmail.com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