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Submission checklist</w:t>
      </w:r>
    </w:p>
    <w:p>
      <w:pPr>
        <w:spacing w:before="280" w:after="120"/>
      </w:pPr>
      <w:r>
        <w:rPr>
          <w:b/>
        </w:rPr>
        <w:t>Items included in the submission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File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Cover letter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Cover_Letter_DataPolicy.docx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 page with author details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Title_Page_DataPolicy.docx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Article file (figures/tables inline; non-anonymized)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Manuscript_DataPolicy.docx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Abstract (&lt;=250 words)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213 words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Policy Significance Statement (120 words)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121 words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Keywords (&lt;=5, semicolon-separated)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 (PNG + TIFF + PDF, 600 dpi)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figures/Figure1-5.*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Editable figures (one per slide)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Figures_DataPolicy_editable.pptx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Editable tables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Tables_DataPolicy_editable.docx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Reporting guideline (PRISMA-ScR)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Reporting_Guideline_PRISMA-ScR.docx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Citation audit (author-date)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Citation_Audit.csv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Reference verification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Reference_Verification.csv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Main-text word count (excl. references): 2491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Title_Page_DataPolicy.docx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availability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Funding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Competing interests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