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allocation: a sensitivity-analysis framework with equivalence testing",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 for healthcare decisions. Our study treats specialty physician workforce planning as a healthcare resource-allocation problem and uses it as a test case for a transparent, reproducible sensitivity-analysis framework. The analytical contribution is diagnostic: we show how two common observational fallacies—size confounding and interpolation of sparse panel data—can be identified and removed when a proposed policy lever (malpractice-litigation risk) is evaluated against physician workforce outcomes.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we use come from Japan, a setting that provides a complete, long-running test case. Using national primary data for 12 clinical specialties, we measure exposure as a size-adjusted rate (closed malpractice claims per 1,000 physicians) and estimate panel fixed-effects models with equivalence (TOST) testing. The effect of litigation risk on physician and hospital growth is statistically equivalent to a null within policy-relevant margins. We show that count-based associations disappear once specialty-size confounding and interpolation are removed, and we discuss how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