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帝王切開術中の嘔気嘔吐（IONV）に対する</w:t>
        <w:br/>
        <w:t>双胎妊娠の影響に関する後方視的検討</w:t>
      </w:r>
    </w:p>
    <w:p/>
    <w:p>
      <w:pPr>
        <w:pStyle w:val="Heading1"/>
      </w:pPr>
      <w:r>
        <w:rPr>
          <w:color w:val="000000"/>
        </w:rPr>
        <w:t>方法</w:t>
      </w:r>
    </w:p>
    <w:p>
      <w:pPr>
        <w:pStyle w:val="Heading2"/>
      </w:pPr>
      <w:r>
        <w:rPr>
          <w:color w:val="000000"/>
        </w:rPr>
        <w:t>研究デザイン・対象</w:t>
      </w:r>
    </w:p>
    <w:p>
      <w:r>
        <w:t>2014年1月から2024年12月までに当院で帝王切開術を受けた3,479例（単胎3,113例、双胎366例を含む）を後方視的に検討した。</w:t>
      </w:r>
    </w:p>
    <w:p>
      <w:r>
        <w:t>除外基準は、全身麻酔症例、入室時収縮期血圧（SBP）90 mmHg未満、子宮内胎児死亡（IUFD）、vanishing twin、品胎、および麻酔記録のデータ欠損とした。さらに、麻酔開始前に制吐薬が投与された症例は予防的投与とみなし解析から除外した。</w:t>
      </w:r>
    </w:p>
    <w:p>
      <w:r>
        <w:t>最終解析対象は3,188例（単胎2,846例、双胎342例）であった。</w:t>
      </w:r>
    </w:p>
    <w:p>
      <w:pPr>
        <w:pStyle w:val="Heading2"/>
      </w:pPr>
      <w:r>
        <w:rPr>
          <w:color w:val="000000"/>
        </w:rPr>
        <w:t>評価項目</w:t>
      </w:r>
    </w:p>
    <w:p>
      <w:r>
        <w:t>IONVの定義として、制吐薬全般の使用を指標とする広義の定義に加え、5-HT3受容体拮抗薬の使用に限定した狭義の定義による追加解析を実施した。</w:t>
      </w:r>
    </w:p>
    <w:p>
      <w:r>
        <w:rPr>
          <w:b/>
        </w:rPr>
        <w:t>【制吐薬（広義）】</w:t>
      </w:r>
    </w:p>
    <w:p>
      <w:r>
        <w:t>主要評価項目：麻酔開始から退室までのいずれかの時点で制吐薬が投与された場合をIONVと定義した（メトクロプラミド、ドロペリドール、オンダンセトロン、グラニセトロン、ノバミン、アタラックスP、デキサメタゾンの7剤）。</w:t>
        <w:br/>
        <w:t>副次評価項目：麻酔開始から胎児娩出までの制吐薬投与のみをIONVと定義した。</w:t>
      </w:r>
    </w:p>
    <w:p>
      <w:r>
        <w:rPr>
          <w:b/>
        </w:rPr>
        <w:t>【制吐薬（狭義）：5-HT3受容体拮抗薬】</w:t>
      </w:r>
    </w:p>
    <w:p>
      <w:r>
        <w:t>上記7剤のうち、嘔気嘔吐に対する特異性が高い5-HT3受容体拮抗薬（オンダンセトロンまたはグラニセトロン）の投与のみをIONVの指標とした。他の制吐薬（メトクロプラミド、ドロペリドール等）は消化管運動促進や鎮静など制吐以外の目的でも使用されるため、5-HT3拮抗薬に限定することでより正確にIONV治療の必要性を捉えることを意図した。</w:t>
        <w:br/>
        <w:t>主要評価項目：5-HT3拮抗薬が術中いずれかの時点で投与された場合。</w:t>
        <w:br/>
        <w:t>副次評価項目：5-HT3拮抗薬が投与され、かつ胎児娩出前に制吐薬が投与された場合。</w:t>
      </w:r>
    </w:p>
    <w:p>
      <w:pPr>
        <w:pStyle w:val="Heading2"/>
      </w:pPr>
      <w:r>
        <w:rPr>
          <w:color w:val="000000"/>
        </w:rPr>
        <w:t>統計解析</w:t>
      </w:r>
    </w:p>
    <w:p>
      <w:r>
        <w:t>連続変数は中央値[四分位範囲]で示し、Mann-Whitney U検定で比較した。カテゴリー変数は例数（%）で示し、χ²検定またはFisherの正確検定（期待度数5未満のセルが存在する場合）で比較した。</w:t>
      </w:r>
    </w:p>
    <w:p>
      <w:r>
        <w:t>IONVの独立した危険因子を評価するため、多変量ロジスティック回帰分析を実施した。共変量は年齢、BMI、在胎週数、緊急帝王切開、帝王切開既往、HDP、硬膜外麻酔、手術時間、低血圧（SBP 90 mmHg未満）、および双胎とした。イベント数が共変量数の10倍に満たない場合は、共変量を6変数（双胎、年齢、BMI、在胎週数、緊急帝王切開、低血圧）に縮小した。結果は調整済みオッズ比（aOR）と95%信頼区間（CI）で報告した。</w:t>
      </w:r>
    </w:p>
    <w:p>
      <w:r>
        <w:t>制吐薬（狭義）の結果の頑健性を検証するため、共変量感度分析を行い、各共変量の追加・除外が双胎の効果推定値に与える影響を系統的に評価した。</w:t>
      </w:r>
    </w:p>
    <w:p>
      <w:r>
        <w:t>統計解析はPython 3.12（scipy 1.14, statsmodels 0.14）を用い、有意水準は両側5%とした。</w:t>
      </w:r>
    </w:p>
    <w:p>
      <w:pPr>
        <w:pStyle w:val="Heading1"/>
      </w:pPr>
      <w:r>
        <w:rPr>
          <w:color w:val="000000"/>
        </w:rPr>
        <w:t>結果</w:t>
      </w:r>
    </w:p>
    <w:p>
      <w:pPr>
        <w:pStyle w:val="Heading2"/>
      </w:pPr>
      <w:r>
        <w:rPr>
          <w:color w:val="000000"/>
        </w:rPr>
        <w:t>患者背景</w:t>
      </w:r>
    </w:p>
    <w:p>
      <w:r>
        <w:t>解析対象3,188例の患者背景をTable 1に示す。単胎群2,846例、双胎群342例であった。</w:t>
      </w:r>
    </w:p>
    <w:p>
      <w:r>
        <w:rPr>
          <w:b/>
        </w:rPr>
        <w:t>Table 1. 患者背景</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変数</w:t>
            </w:r>
          </w:p>
        </w:tc>
        <w:tc>
          <w:tcPr>
            <w:tcW w:type="dxa" w:w="2160"/>
          </w:tcPr>
          <w:p>
            <w:r>
              <w:rPr>
                <w:b/>
                <w:sz w:val="18"/>
              </w:rPr>
              <w:t>単胎 (n=2,846)</w:t>
            </w:r>
          </w:p>
        </w:tc>
        <w:tc>
          <w:tcPr>
            <w:tcW w:type="dxa" w:w="2160"/>
          </w:tcPr>
          <w:p>
            <w:r>
              <w:rPr>
                <w:b/>
                <w:sz w:val="18"/>
              </w:rPr>
              <w:t>双胎 (n=342)</w:t>
            </w:r>
          </w:p>
        </w:tc>
        <w:tc>
          <w:tcPr>
            <w:tcW w:type="dxa" w:w="2160"/>
          </w:tcPr>
          <w:p>
            <w:r>
              <w:rPr>
                <w:b/>
                <w:sz w:val="18"/>
              </w:rPr>
              <w:t>P値</w:t>
            </w:r>
          </w:p>
        </w:tc>
      </w:tr>
      <w:tr>
        <w:tc>
          <w:tcPr>
            <w:tcW w:type="dxa" w:w="2160"/>
          </w:tcPr>
          <w:p>
            <w:r>
              <w:rPr>
                <w:sz w:val="18"/>
              </w:rPr>
              <w:t>Age (years)</w:t>
            </w:r>
          </w:p>
        </w:tc>
        <w:tc>
          <w:tcPr>
            <w:tcW w:type="dxa" w:w="2160"/>
          </w:tcPr>
          <w:p>
            <w:r>
              <w:rPr>
                <w:sz w:val="18"/>
              </w:rPr>
              <w:t>34.0 [30.0–37.0]</w:t>
            </w:r>
          </w:p>
        </w:tc>
        <w:tc>
          <w:tcPr>
            <w:tcW w:type="dxa" w:w="2160"/>
          </w:tcPr>
          <w:p>
            <w:r>
              <w:rPr>
                <w:sz w:val="18"/>
              </w:rPr>
              <w:t>32.0 [29.0–35.0]</w:t>
            </w:r>
          </w:p>
        </w:tc>
        <w:tc>
          <w:tcPr>
            <w:tcW w:type="dxa" w:w="2160"/>
          </w:tcPr>
          <w:p>
            <w:r>
              <w:rPr>
                <w:sz w:val="18"/>
              </w:rPr>
              <w:t>&lt; 0.001</w:t>
            </w:r>
          </w:p>
        </w:tc>
      </w:tr>
      <w:tr>
        <w:tc>
          <w:tcPr>
            <w:tcW w:type="dxa" w:w="2160"/>
          </w:tcPr>
          <w:p>
            <w:r>
              <w:rPr>
                <w:sz w:val="18"/>
              </w:rPr>
              <w:t>BMI (kg/m²)</w:t>
            </w:r>
          </w:p>
        </w:tc>
        <w:tc>
          <w:tcPr>
            <w:tcW w:type="dxa" w:w="2160"/>
          </w:tcPr>
          <w:p>
            <w:r>
              <w:rPr>
                <w:sz w:val="18"/>
              </w:rPr>
              <w:t>24.8 [22.5–27.8]</w:t>
            </w:r>
          </w:p>
        </w:tc>
        <w:tc>
          <w:tcPr>
            <w:tcW w:type="dxa" w:w="2160"/>
          </w:tcPr>
          <w:p>
            <w:r>
              <w:rPr>
                <w:sz w:val="18"/>
              </w:rPr>
              <w:t>25.3 [22.8–28.0]</w:t>
            </w:r>
          </w:p>
        </w:tc>
        <w:tc>
          <w:tcPr>
            <w:tcW w:type="dxa" w:w="2160"/>
          </w:tcPr>
          <w:p>
            <w:r>
              <w:rPr>
                <w:sz w:val="18"/>
              </w:rPr>
              <w:t>0.183</w:t>
            </w:r>
          </w:p>
        </w:tc>
      </w:tr>
      <w:tr>
        <w:tc>
          <w:tcPr>
            <w:tcW w:type="dxa" w:w="2160"/>
          </w:tcPr>
          <w:p>
            <w:r>
              <w:rPr>
                <w:sz w:val="18"/>
              </w:rPr>
              <w:t>Gestational age (weeks)</w:t>
            </w:r>
          </w:p>
        </w:tc>
        <w:tc>
          <w:tcPr>
            <w:tcW w:type="dxa" w:w="2160"/>
          </w:tcPr>
          <w:p>
            <w:r>
              <w:rPr>
                <w:sz w:val="18"/>
              </w:rPr>
              <w:t>38.0 [37.0–38.6]</w:t>
            </w:r>
          </w:p>
        </w:tc>
        <w:tc>
          <w:tcPr>
            <w:tcW w:type="dxa" w:w="2160"/>
          </w:tcPr>
          <w:p>
            <w:r>
              <w:rPr>
                <w:sz w:val="18"/>
              </w:rPr>
              <w:t>37.0 [36.1–37.3]</w:t>
            </w:r>
          </w:p>
        </w:tc>
        <w:tc>
          <w:tcPr>
            <w:tcW w:type="dxa" w:w="2160"/>
          </w:tcPr>
          <w:p>
            <w:r>
              <w:rPr>
                <w:sz w:val="18"/>
              </w:rPr>
              <w:t>&lt; 0.001</w:t>
            </w:r>
          </w:p>
        </w:tc>
      </w:tr>
      <w:tr>
        <w:tc>
          <w:tcPr>
            <w:tcW w:type="dxa" w:w="2160"/>
          </w:tcPr>
          <w:p>
            <w:r>
              <w:rPr>
                <w:sz w:val="18"/>
              </w:rPr>
              <w:t>Surgery time (min)</w:t>
            </w:r>
          </w:p>
        </w:tc>
        <w:tc>
          <w:tcPr>
            <w:tcW w:type="dxa" w:w="2160"/>
          </w:tcPr>
          <w:p>
            <w:r>
              <w:rPr>
                <w:sz w:val="18"/>
              </w:rPr>
              <w:t>47.0 [40.0–57.0]</w:t>
            </w:r>
          </w:p>
        </w:tc>
        <w:tc>
          <w:tcPr>
            <w:tcW w:type="dxa" w:w="2160"/>
          </w:tcPr>
          <w:p>
            <w:r>
              <w:rPr>
                <w:sz w:val="18"/>
              </w:rPr>
              <w:t>44.0 [38.0–51.0]</w:t>
            </w:r>
          </w:p>
        </w:tc>
        <w:tc>
          <w:tcPr>
            <w:tcW w:type="dxa" w:w="2160"/>
          </w:tcPr>
          <w:p>
            <w:r>
              <w:rPr>
                <w:sz w:val="18"/>
              </w:rPr>
              <w:t>&lt; 0.001</w:t>
            </w:r>
          </w:p>
        </w:tc>
      </w:tr>
      <w:tr>
        <w:tc>
          <w:tcPr>
            <w:tcW w:type="dxa" w:w="2160"/>
          </w:tcPr>
          <w:p>
            <w:r>
              <w:rPr>
                <w:sz w:val="18"/>
              </w:rPr>
              <w:t>Anesthesia time (min)</w:t>
            </w:r>
          </w:p>
        </w:tc>
        <w:tc>
          <w:tcPr>
            <w:tcW w:type="dxa" w:w="2160"/>
          </w:tcPr>
          <w:p>
            <w:r>
              <w:rPr>
                <w:sz w:val="18"/>
              </w:rPr>
              <w:t>64.0 [55.0–76.0]</w:t>
            </w:r>
          </w:p>
        </w:tc>
        <w:tc>
          <w:tcPr>
            <w:tcW w:type="dxa" w:w="2160"/>
          </w:tcPr>
          <w:p>
            <w:r>
              <w:rPr>
                <w:sz w:val="18"/>
              </w:rPr>
              <w:t>58.0 [51.0–67.8]</w:t>
            </w:r>
          </w:p>
        </w:tc>
        <w:tc>
          <w:tcPr>
            <w:tcW w:type="dxa" w:w="2160"/>
          </w:tcPr>
          <w:p>
            <w:r>
              <w:rPr>
                <w:sz w:val="18"/>
              </w:rPr>
              <w:t>&lt; 0.001</w:t>
            </w:r>
          </w:p>
        </w:tc>
      </w:tr>
      <w:tr>
        <w:tc>
          <w:tcPr>
            <w:tcW w:type="dxa" w:w="2160"/>
          </w:tcPr>
          <w:p>
            <w:r>
              <w:rPr>
                <w:sz w:val="18"/>
              </w:rPr>
              <w:t>Estimated blood loss (mL)</w:t>
            </w:r>
          </w:p>
        </w:tc>
        <w:tc>
          <w:tcPr>
            <w:tcW w:type="dxa" w:w="2160"/>
          </w:tcPr>
          <w:p>
            <w:r>
              <w:rPr>
                <w:sz w:val="18"/>
              </w:rPr>
              <w:t>650.0 [450.0–930.0]</w:t>
            </w:r>
          </w:p>
        </w:tc>
        <w:tc>
          <w:tcPr>
            <w:tcW w:type="dxa" w:w="2160"/>
          </w:tcPr>
          <w:p>
            <w:r>
              <w:rPr>
                <w:sz w:val="18"/>
              </w:rPr>
              <w:t>1195.0 [922.5–1670.0]</w:t>
            </w:r>
          </w:p>
        </w:tc>
        <w:tc>
          <w:tcPr>
            <w:tcW w:type="dxa" w:w="2160"/>
          </w:tcPr>
          <w:p>
            <w:r>
              <w:rPr>
                <w:sz w:val="18"/>
              </w:rPr>
              <w:t>&lt; 0.001</w:t>
            </w:r>
          </w:p>
        </w:tc>
      </w:tr>
      <w:tr>
        <w:tc>
          <w:tcPr>
            <w:tcW w:type="dxa" w:w="2160"/>
          </w:tcPr>
          <w:p>
            <w:r>
              <w:rPr>
                <w:sz w:val="18"/>
              </w:rPr>
              <w:t>Infusion volume (mL)</w:t>
            </w:r>
          </w:p>
        </w:tc>
        <w:tc>
          <w:tcPr>
            <w:tcW w:type="dxa" w:w="2160"/>
          </w:tcPr>
          <w:p>
            <w:r>
              <w:rPr>
                <w:sz w:val="18"/>
              </w:rPr>
              <w:t>1000.0 [750.0–1250.0]</w:t>
            </w:r>
          </w:p>
        </w:tc>
        <w:tc>
          <w:tcPr>
            <w:tcW w:type="dxa" w:w="2160"/>
          </w:tcPr>
          <w:p>
            <w:r>
              <w:rPr>
                <w:sz w:val="18"/>
              </w:rPr>
              <w:t>1050.0 [800.0–1300.0]</w:t>
            </w:r>
          </w:p>
        </w:tc>
        <w:tc>
          <w:tcPr>
            <w:tcW w:type="dxa" w:w="2160"/>
          </w:tcPr>
          <w:p>
            <w:r>
              <w:rPr>
                <w:sz w:val="18"/>
              </w:rPr>
              <w:t>0.054</w:t>
            </w:r>
          </w:p>
        </w:tc>
      </w:tr>
      <w:tr>
        <w:tc>
          <w:tcPr>
            <w:tcW w:type="dxa" w:w="2160"/>
          </w:tcPr>
          <w:p>
            <w:r>
              <w:rPr>
                <w:sz w:val="18"/>
              </w:rPr>
              <w:t>Hypotensive episodes (count)</w:t>
            </w:r>
          </w:p>
        </w:tc>
        <w:tc>
          <w:tcPr>
            <w:tcW w:type="dxa" w:w="2160"/>
          </w:tcPr>
          <w:p>
            <w:r>
              <w:rPr>
                <w:sz w:val="18"/>
              </w:rPr>
              <w:t>1.0 [0.0–2.0]</w:t>
            </w:r>
          </w:p>
        </w:tc>
        <w:tc>
          <w:tcPr>
            <w:tcW w:type="dxa" w:w="2160"/>
          </w:tcPr>
          <w:p>
            <w:r>
              <w:rPr>
                <w:sz w:val="18"/>
              </w:rPr>
              <w:t>0.0 [0.0–2.0]</w:t>
            </w:r>
          </w:p>
        </w:tc>
        <w:tc>
          <w:tcPr>
            <w:tcW w:type="dxa" w:w="2160"/>
          </w:tcPr>
          <w:p>
            <w:r>
              <w:rPr>
                <w:sz w:val="18"/>
              </w:rPr>
              <w:t>0.002</w:t>
            </w:r>
          </w:p>
        </w:tc>
      </w:tr>
      <w:tr>
        <w:tc>
          <w:tcPr>
            <w:tcW w:type="dxa" w:w="2160"/>
          </w:tcPr>
          <w:p>
            <w:r>
              <w:rPr>
                <w:sz w:val="18"/>
              </w:rPr>
              <w:t>Emergency CS</w:t>
            </w:r>
          </w:p>
        </w:tc>
        <w:tc>
          <w:tcPr>
            <w:tcW w:type="dxa" w:w="2160"/>
          </w:tcPr>
          <w:p>
            <w:r>
              <w:rPr>
                <w:sz w:val="18"/>
              </w:rPr>
              <w:t>1331/2846 (46.8%)</w:t>
            </w:r>
          </w:p>
        </w:tc>
        <w:tc>
          <w:tcPr>
            <w:tcW w:type="dxa" w:w="2160"/>
          </w:tcPr>
          <w:p>
            <w:r>
              <w:rPr>
                <w:sz w:val="18"/>
              </w:rPr>
              <w:t>121/342 (35.4%)</w:t>
            </w:r>
          </w:p>
        </w:tc>
        <w:tc>
          <w:tcPr>
            <w:tcW w:type="dxa" w:w="2160"/>
          </w:tcPr>
          <w:p>
            <w:r>
              <w:rPr>
                <w:sz w:val="18"/>
              </w:rPr>
              <w:t>&lt; 0.001</w:t>
            </w:r>
          </w:p>
        </w:tc>
      </w:tr>
      <w:tr>
        <w:tc>
          <w:tcPr>
            <w:tcW w:type="dxa" w:w="2160"/>
          </w:tcPr>
          <w:p>
            <w:r>
              <w:rPr>
                <w:sz w:val="18"/>
              </w:rPr>
              <w:t>Prior CS</w:t>
            </w:r>
          </w:p>
        </w:tc>
        <w:tc>
          <w:tcPr>
            <w:tcW w:type="dxa" w:w="2160"/>
          </w:tcPr>
          <w:p>
            <w:r>
              <w:rPr>
                <w:sz w:val="18"/>
              </w:rPr>
              <w:t>1280/2846 (45.0%)</w:t>
            </w:r>
          </w:p>
        </w:tc>
        <w:tc>
          <w:tcPr>
            <w:tcW w:type="dxa" w:w="2160"/>
          </w:tcPr>
          <w:p>
            <w:r>
              <w:rPr>
                <w:sz w:val="18"/>
              </w:rPr>
              <w:t>40/342 (11.7%)</w:t>
            </w:r>
          </w:p>
        </w:tc>
        <w:tc>
          <w:tcPr>
            <w:tcW w:type="dxa" w:w="2160"/>
          </w:tcPr>
          <w:p>
            <w:r>
              <w:rPr>
                <w:sz w:val="18"/>
              </w:rPr>
              <w:t>&lt; 0.001</w:t>
            </w:r>
          </w:p>
        </w:tc>
      </w:tr>
      <w:tr>
        <w:tc>
          <w:tcPr>
            <w:tcW w:type="dxa" w:w="2160"/>
          </w:tcPr>
          <w:p>
            <w:r>
              <w:rPr>
                <w:sz w:val="18"/>
              </w:rPr>
              <w:t>HDP</w:t>
            </w:r>
          </w:p>
        </w:tc>
        <w:tc>
          <w:tcPr>
            <w:tcW w:type="dxa" w:w="2160"/>
          </w:tcPr>
          <w:p>
            <w:r>
              <w:rPr>
                <w:sz w:val="18"/>
              </w:rPr>
              <w:t>284/2846 (10.0%)</w:t>
            </w:r>
          </w:p>
        </w:tc>
        <w:tc>
          <w:tcPr>
            <w:tcW w:type="dxa" w:w="2160"/>
          </w:tcPr>
          <w:p>
            <w:r>
              <w:rPr>
                <w:sz w:val="18"/>
              </w:rPr>
              <w:t>33/342 (9.6%)</w:t>
            </w:r>
          </w:p>
        </w:tc>
        <w:tc>
          <w:tcPr>
            <w:tcW w:type="dxa" w:w="2160"/>
          </w:tcPr>
          <w:p>
            <w:r>
              <w:rPr>
                <w:sz w:val="18"/>
              </w:rPr>
              <w:t>0.847</w:t>
            </w:r>
          </w:p>
        </w:tc>
      </w:tr>
      <w:tr>
        <w:tc>
          <w:tcPr>
            <w:tcW w:type="dxa" w:w="2160"/>
          </w:tcPr>
          <w:p>
            <w:r>
              <w:rPr>
                <w:sz w:val="18"/>
              </w:rPr>
              <w:t>Preoperative steroid</w:t>
            </w:r>
          </w:p>
        </w:tc>
        <w:tc>
          <w:tcPr>
            <w:tcW w:type="dxa" w:w="2160"/>
          </w:tcPr>
          <w:p>
            <w:r>
              <w:rPr>
                <w:sz w:val="18"/>
              </w:rPr>
              <w:t>207/2839 (7.3%)</w:t>
            </w:r>
          </w:p>
        </w:tc>
        <w:tc>
          <w:tcPr>
            <w:tcW w:type="dxa" w:w="2160"/>
          </w:tcPr>
          <w:p>
            <w:r>
              <w:rPr>
                <w:sz w:val="18"/>
              </w:rPr>
              <w:t>25/342 (7.3%)</w:t>
            </w:r>
          </w:p>
        </w:tc>
        <w:tc>
          <w:tcPr>
            <w:tcW w:type="dxa" w:w="2160"/>
          </w:tcPr>
          <w:p>
            <w:r>
              <w:rPr>
                <w:sz w:val="18"/>
              </w:rPr>
              <w:t>0.990</w:t>
            </w:r>
          </w:p>
        </w:tc>
      </w:tr>
      <w:tr>
        <w:tc>
          <w:tcPr>
            <w:tcW w:type="dxa" w:w="2160"/>
          </w:tcPr>
          <w:p>
            <w:r>
              <w:rPr>
                <w:sz w:val="18"/>
              </w:rPr>
              <w:t>Epidural anesthesia</w:t>
            </w:r>
          </w:p>
        </w:tc>
        <w:tc>
          <w:tcPr>
            <w:tcW w:type="dxa" w:w="2160"/>
          </w:tcPr>
          <w:p>
            <w:r>
              <w:rPr>
                <w:sz w:val="18"/>
              </w:rPr>
              <w:t>912/2846 (32.0%)</w:t>
            </w:r>
          </w:p>
        </w:tc>
        <w:tc>
          <w:tcPr>
            <w:tcW w:type="dxa" w:w="2160"/>
          </w:tcPr>
          <w:p>
            <w:r>
              <w:rPr>
                <w:sz w:val="18"/>
              </w:rPr>
              <w:t>105/342 (30.7%)</w:t>
            </w:r>
          </w:p>
        </w:tc>
        <w:tc>
          <w:tcPr>
            <w:tcW w:type="dxa" w:w="2160"/>
          </w:tcPr>
          <w:p>
            <w:r>
              <w:rPr>
                <w:sz w:val="18"/>
              </w:rPr>
              <w:t>0.615</w:t>
            </w:r>
          </w:p>
        </w:tc>
      </w:tr>
      <w:tr>
        <w:tc>
          <w:tcPr>
            <w:tcW w:type="dxa" w:w="2160"/>
          </w:tcPr>
          <w:p>
            <w:r>
              <w:rPr>
                <w:sz w:val="18"/>
              </w:rPr>
              <w:t>Hypotension (SBP &lt; 90)</w:t>
            </w:r>
          </w:p>
        </w:tc>
        <w:tc>
          <w:tcPr>
            <w:tcW w:type="dxa" w:w="2160"/>
          </w:tcPr>
          <w:p>
            <w:r>
              <w:rPr>
                <w:sz w:val="18"/>
              </w:rPr>
              <w:t>1502/2845 (52.8%)</w:t>
            </w:r>
          </w:p>
        </w:tc>
        <w:tc>
          <w:tcPr>
            <w:tcW w:type="dxa" w:w="2160"/>
          </w:tcPr>
          <w:p>
            <w:r>
              <w:rPr>
                <w:sz w:val="18"/>
              </w:rPr>
              <w:t>151/342 (44.2%)</w:t>
            </w:r>
          </w:p>
        </w:tc>
        <w:tc>
          <w:tcPr>
            <w:tcW w:type="dxa" w:w="2160"/>
          </w:tcPr>
          <w:p>
            <w:r>
              <w:rPr>
                <w:sz w:val="18"/>
              </w:rPr>
              <w:t>0.003</w:t>
            </w:r>
          </w:p>
        </w:tc>
      </w:tr>
    </w:tbl>
    <w:p/>
    <w:p>
      <w:pPr>
        <w:pStyle w:val="Heading2"/>
      </w:pPr>
      <w:r>
        <w:rPr>
          <w:color w:val="000000"/>
        </w:rPr>
        <w:t>制吐薬（広義）によるIONV</w:t>
      </w:r>
    </w:p>
    <w:p>
      <w:r>
        <w:t>主要評価項目（制吐薬（広義））のIONV発生率は、単胎群17.7%（504/2846例）、双胎群17.0%（58/342例）であり、有意差を認めなかった（P = 0.624）。</w:t>
      </w:r>
    </w:p>
    <w:p>
      <w:r>
        <w:t>副次評価項目（胎児娩出前のみ）のIONV発生率は、単胎群1.9%、双胎群1.5%であり、こちらも有意差を認めなかった（P = 0.683）。</w:t>
      </w:r>
    </w:p>
    <w:p>
      <w:r>
        <w:t>多変量ロジスティック回帰分析（共変量10変数）においても、双胎は主要評価項目のIONVと有意な関連を示さなかった（aOR 0.92, 95%CI 0.67–1.27, P = 0.624）。</w:t>
      </w:r>
    </w:p>
    <w:p>
      <w:pPr>
        <w:pStyle w:val="Heading2"/>
      </w:pPr>
      <w:r>
        <w:rPr>
          <w:color w:val="000000"/>
        </w:rPr>
        <w:t>制吐薬（狭義）によるIONV</w:t>
      </w:r>
    </w:p>
    <w:p>
      <w:r>
        <w:t>5-HT3拮抗薬の使用を指標とした狭義の主要評価項目では、IONV発生率は単胎群0.9%（25/2846例）に対し、双胎群2.3%（8/342例）と、双胎群で有意に高率であった（P = 0.020）。</w:t>
      </w:r>
    </w:p>
    <w:p>
      <w:r>
        <w:t>多変量ロジスティック回帰分析では、イベント数が33件と少数であったため共変量を6変数に縮小したモデルを使用した。その結果、双胎は5-HT3拮抗薬使用と有意に関連していた（aOR 3.18, 95%CI 1.38–7.36, P = 0.007）（Fig. 2）。</w:t>
      </w:r>
    </w:p>
    <w:p>
      <w:r>
        <w:t>狭義の副次評価項目（5-HT3拮抗薬かつ胎児娩出前投与）では、単胎群0.21%に対し双胎群0.88%と高い傾向を示したが、統計学的有意差には至らなかった（aOR 3.48, 95%CI 0.81–15.06, P = 0.095）。</w:t>
      </w:r>
    </w:p>
    <w:p>
      <w:pPr>
        <w:jc w:val="center"/>
      </w:pPr>
      <w:r>
        <w:drawing>
          <wp:inline xmlns:a="http://schemas.openxmlformats.org/drawingml/2006/main" xmlns:pic="http://schemas.openxmlformats.org/drawingml/2006/picture">
            <wp:extent cx="5486400" cy="2374366"/>
            <wp:docPr id="1" name="Picture 1"/>
            <wp:cNvGraphicFramePr>
              <a:graphicFrameLocks noChangeAspect="1"/>
            </wp:cNvGraphicFramePr>
            <a:graphic>
              <a:graphicData uri="http://schemas.openxmlformats.org/drawingml/2006/picture">
                <pic:pic>
                  <pic:nvPicPr>
                    <pic:cNvPr id="0" name="fig1_rates_comparison.png"/>
                    <pic:cNvPicPr/>
                  </pic:nvPicPr>
                  <pic:blipFill>
                    <a:blip r:embed="rId9"/>
                    <a:stretch>
                      <a:fillRect/>
                    </a:stretch>
                  </pic:blipFill>
                  <pic:spPr>
                    <a:xfrm>
                      <a:off x="0" y="0"/>
                      <a:ext cx="5486400" cy="2374366"/>
                    </a:xfrm>
                    <a:prstGeom prst="rect"/>
                  </pic:spPr>
                </pic:pic>
              </a:graphicData>
            </a:graphic>
          </wp:inline>
        </w:drawing>
      </w:r>
    </w:p>
    <w:p>
      <w:pPr>
        <w:jc w:val="center"/>
      </w:pPr>
      <w:r>
        <w:rPr>
          <w:i/>
          <w:sz w:val="18"/>
        </w:rPr>
        <w:t>Fig. 1  IONV発生率の比較（制吐薬（広義）vs 制吐薬（狭義）、単胎 vs 双胎）</w:t>
      </w:r>
    </w:p>
    <w:p>
      <w:pPr>
        <w:pStyle w:val="Heading2"/>
      </w:pPr>
      <w:r>
        <w:rPr>
          <w:color w:val="000000"/>
        </w:rPr>
        <w:t>多変量ロジスティック回帰分析</w:t>
      </w:r>
    </w:p>
    <w:p>
      <w:r>
        <w:rPr>
          <w:b/>
        </w:rPr>
        <w:t>Table 2. IONVの多変量ロジスティック回帰分析</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評価項目</w:t>
            </w:r>
          </w:p>
        </w:tc>
        <w:tc>
          <w:tcPr>
            <w:tcW w:type="dxa" w:w="1440"/>
          </w:tcPr>
          <w:p>
            <w:r>
              <w:rPr>
                <w:b/>
                <w:sz w:val="18"/>
              </w:rPr>
              <w:t>n</w:t>
            </w:r>
          </w:p>
        </w:tc>
        <w:tc>
          <w:tcPr>
            <w:tcW w:type="dxa" w:w="1440"/>
          </w:tcPr>
          <w:p>
            <w:r>
              <w:rPr>
                <w:b/>
                <w:sz w:val="18"/>
              </w:rPr>
              <w:t>イベント数</w:t>
            </w:r>
          </w:p>
        </w:tc>
        <w:tc>
          <w:tcPr>
            <w:tcW w:type="dxa" w:w="1440"/>
          </w:tcPr>
          <w:p>
            <w:r>
              <w:rPr>
                <w:b/>
                <w:sz w:val="18"/>
              </w:rPr>
              <w:t>双胎 aOR</w:t>
            </w:r>
          </w:p>
        </w:tc>
        <w:tc>
          <w:tcPr>
            <w:tcW w:type="dxa" w:w="1440"/>
          </w:tcPr>
          <w:p>
            <w:r>
              <w:rPr>
                <w:b/>
                <w:sz w:val="18"/>
              </w:rPr>
              <w:t>95% CI</w:t>
            </w:r>
          </w:p>
        </w:tc>
        <w:tc>
          <w:tcPr>
            <w:tcW w:type="dxa" w:w="1440"/>
          </w:tcPr>
          <w:p>
            <w:r>
              <w:rPr>
                <w:b/>
                <w:sz w:val="18"/>
              </w:rPr>
              <w:t>P値</w:t>
            </w:r>
          </w:p>
        </w:tc>
      </w:tr>
      <w:tr>
        <w:tc>
          <w:tcPr>
            <w:tcW w:type="dxa" w:w="1440"/>
          </w:tcPr>
          <w:p>
            <w:r>
              <w:rPr>
                <w:sz w:val="18"/>
              </w:rPr>
              <w:t>広義 主要（制吐薬全体）</w:t>
            </w:r>
          </w:p>
        </w:tc>
        <w:tc>
          <w:tcPr>
            <w:tcW w:type="dxa" w:w="1440"/>
          </w:tcPr>
          <w:p>
            <w:r>
              <w:rPr>
                <w:sz w:val="18"/>
              </w:rPr>
              <w:t>3153</w:t>
            </w:r>
          </w:p>
        </w:tc>
        <w:tc>
          <w:tcPr>
            <w:tcW w:type="dxa" w:w="1440"/>
          </w:tcPr>
          <w:p>
            <w:r>
              <w:rPr>
                <w:sz w:val="18"/>
              </w:rPr>
              <w:t>556</w:t>
            </w:r>
          </w:p>
        </w:tc>
        <w:tc>
          <w:tcPr>
            <w:tcW w:type="dxa" w:w="1440"/>
          </w:tcPr>
          <w:p>
            <w:r>
              <w:rPr>
                <w:sz w:val="18"/>
              </w:rPr>
              <w:t>0.92</w:t>
            </w:r>
          </w:p>
        </w:tc>
        <w:tc>
          <w:tcPr>
            <w:tcW w:type="dxa" w:w="1440"/>
          </w:tcPr>
          <w:p>
            <w:r>
              <w:rPr>
                <w:sz w:val="18"/>
              </w:rPr>
              <w:t>0.67–1.27</w:t>
            </w:r>
          </w:p>
        </w:tc>
        <w:tc>
          <w:tcPr>
            <w:tcW w:type="dxa" w:w="1440"/>
          </w:tcPr>
          <w:p>
            <w:r>
              <w:rPr>
                <w:sz w:val="18"/>
              </w:rPr>
              <w:t>0.624</w:t>
            </w:r>
          </w:p>
        </w:tc>
      </w:tr>
      <w:tr>
        <w:tc>
          <w:tcPr>
            <w:tcW w:type="dxa" w:w="1440"/>
          </w:tcPr>
          <w:p>
            <w:r>
              <w:rPr>
                <w:sz w:val="18"/>
              </w:rPr>
              <w:t>広義 副次（娩出前のみ）</w:t>
            </w:r>
          </w:p>
        </w:tc>
        <w:tc>
          <w:tcPr>
            <w:tcW w:type="dxa" w:w="1440"/>
          </w:tcPr>
          <w:p>
            <w:r>
              <w:rPr>
                <w:sz w:val="18"/>
              </w:rPr>
              <w:t>3153</w:t>
            </w:r>
          </w:p>
        </w:tc>
        <w:tc>
          <w:tcPr>
            <w:tcW w:type="dxa" w:w="1440"/>
          </w:tcPr>
          <w:p>
            <w:r>
              <w:rPr>
                <w:sz w:val="18"/>
              </w:rPr>
              <w:t>58</w:t>
            </w:r>
          </w:p>
        </w:tc>
        <w:tc>
          <w:tcPr>
            <w:tcW w:type="dxa" w:w="1440"/>
          </w:tcPr>
          <w:p>
            <w:r>
              <w:rPr>
                <w:sz w:val="18"/>
              </w:rPr>
              <w:t>0.82</w:t>
            </w:r>
          </w:p>
        </w:tc>
        <w:tc>
          <w:tcPr>
            <w:tcW w:type="dxa" w:w="1440"/>
          </w:tcPr>
          <w:p>
            <w:r>
              <w:rPr>
                <w:sz w:val="18"/>
              </w:rPr>
              <w:t>0.31–2.15</w:t>
            </w:r>
          </w:p>
        </w:tc>
        <w:tc>
          <w:tcPr>
            <w:tcW w:type="dxa" w:w="1440"/>
          </w:tcPr>
          <w:p>
            <w:r>
              <w:rPr>
                <w:sz w:val="18"/>
              </w:rPr>
              <w:t>0.683</w:t>
            </w:r>
          </w:p>
        </w:tc>
      </w:tr>
      <w:tr>
        <w:tc>
          <w:tcPr>
            <w:tcW w:type="dxa" w:w="1440"/>
          </w:tcPr>
          <w:p>
            <w:r>
              <w:rPr>
                <w:sz w:val="18"/>
              </w:rPr>
              <w:t>狭義 主要（5-HT3拮抗薬）</w:t>
            </w:r>
          </w:p>
        </w:tc>
        <w:tc>
          <w:tcPr>
            <w:tcW w:type="dxa" w:w="1440"/>
          </w:tcPr>
          <w:p>
            <w:r>
              <w:rPr>
                <w:sz w:val="18"/>
              </w:rPr>
              <w:t>3153</w:t>
            </w:r>
          </w:p>
        </w:tc>
        <w:tc>
          <w:tcPr>
            <w:tcW w:type="dxa" w:w="1440"/>
          </w:tcPr>
          <w:p>
            <w:r>
              <w:rPr>
                <w:sz w:val="18"/>
              </w:rPr>
              <w:t>33</w:t>
            </w:r>
          </w:p>
        </w:tc>
        <w:tc>
          <w:tcPr>
            <w:tcW w:type="dxa" w:w="1440"/>
          </w:tcPr>
          <w:p>
            <w:r>
              <w:rPr>
                <w:sz w:val="18"/>
              </w:rPr>
              <w:t>3.18</w:t>
            </w:r>
          </w:p>
        </w:tc>
        <w:tc>
          <w:tcPr>
            <w:tcW w:type="dxa" w:w="1440"/>
          </w:tcPr>
          <w:p>
            <w:r>
              <w:rPr>
                <w:sz w:val="18"/>
              </w:rPr>
              <w:t>1.38–7.36</w:t>
            </w:r>
          </w:p>
        </w:tc>
        <w:tc>
          <w:tcPr>
            <w:tcW w:type="dxa" w:w="1440"/>
          </w:tcPr>
          <w:p>
            <w:r>
              <w:rPr>
                <w:sz w:val="18"/>
              </w:rPr>
              <w:t>0.007</w:t>
            </w:r>
          </w:p>
        </w:tc>
      </w:tr>
      <w:tr>
        <w:tc>
          <w:tcPr>
            <w:tcW w:type="dxa" w:w="1440"/>
          </w:tcPr>
          <w:p>
            <w:r>
              <w:rPr>
                <w:sz w:val="18"/>
              </w:rPr>
              <w:t>狭義 副次（5-HT3+娩出前）</w:t>
            </w:r>
          </w:p>
        </w:tc>
        <w:tc>
          <w:tcPr>
            <w:tcW w:type="dxa" w:w="1440"/>
          </w:tcPr>
          <w:p>
            <w:r>
              <w:rPr>
                <w:sz w:val="18"/>
              </w:rPr>
              <w:t>3153</w:t>
            </w:r>
          </w:p>
        </w:tc>
        <w:tc>
          <w:tcPr>
            <w:tcW w:type="dxa" w:w="1440"/>
          </w:tcPr>
          <w:p>
            <w:r>
              <w:rPr>
                <w:sz w:val="18"/>
              </w:rPr>
              <w:t>9</w:t>
            </w:r>
          </w:p>
        </w:tc>
        <w:tc>
          <w:tcPr>
            <w:tcW w:type="dxa" w:w="1440"/>
          </w:tcPr>
          <w:p>
            <w:r>
              <w:rPr>
                <w:sz w:val="18"/>
              </w:rPr>
              <w:t>3.48</w:t>
            </w:r>
          </w:p>
        </w:tc>
        <w:tc>
          <w:tcPr>
            <w:tcW w:type="dxa" w:w="1440"/>
          </w:tcPr>
          <w:p>
            <w:r>
              <w:rPr>
                <w:sz w:val="18"/>
              </w:rPr>
              <w:t>0.81–15.06</w:t>
            </w:r>
          </w:p>
        </w:tc>
        <w:tc>
          <w:tcPr>
            <w:tcW w:type="dxa" w:w="1440"/>
          </w:tcPr>
          <w:p>
            <w:r>
              <w:rPr>
                <w:sz w:val="18"/>
              </w:rPr>
              <w:t>0.095</w:t>
            </w:r>
          </w:p>
        </w:tc>
      </w:tr>
    </w:tbl>
    <w:p/>
    <w:p>
      <w:pPr>
        <w:jc w:val="center"/>
      </w:pPr>
      <w:r>
        <w:drawing>
          <wp:inline xmlns:a="http://schemas.openxmlformats.org/drawingml/2006/main" xmlns:pic="http://schemas.openxmlformats.org/drawingml/2006/picture">
            <wp:extent cx="5486400" cy="3267825"/>
            <wp:docPr id="2" name="Picture 2"/>
            <wp:cNvGraphicFramePr>
              <a:graphicFrameLocks noChangeAspect="1"/>
            </wp:cNvGraphicFramePr>
            <a:graphic>
              <a:graphicData uri="http://schemas.openxmlformats.org/drawingml/2006/picture">
                <pic:pic>
                  <pic:nvPicPr>
                    <pic:cNvPr id="0" name="fig2_forest_E_primary.png"/>
                    <pic:cNvPicPr/>
                  </pic:nvPicPr>
                  <pic:blipFill>
                    <a:blip r:embed="rId10"/>
                    <a:stretch>
                      <a:fillRect/>
                    </a:stretch>
                  </pic:blipFill>
                  <pic:spPr>
                    <a:xfrm>
                      <a:off x="0" y="0"/>
                      <a:ext cx="5486400" cy="3267825"/>
                    </a:xfrm>
                    <a:prstGeom prst="rect"/>
                  </pic:spPr>
                </pic:pic>
              </a:graphicData>
            </a:graphic>
          </wp:inline>
        </w:drawing>
      </w:r>
    </w:p>
    <w:p>
      <w:pPr>
        <w:jc w:val="center"/>
      </w:pPr>
      <w:r>
        <w:rPr>
          <w:i/>
          <w:sz w:val="18"/>
        </w:rPr>
        <w:t>Fig. 2  制吐薬（狭義）使用の多変量ロジスティック回帰分析</w:t>
      </w:r>
    </w:p>
    <w:p>
      <w:pPr>
        <w:jc w:val="center"/>
      </w:pPr>
      <w:r>
        <w:drawing>
          <wp:inline xmlns:a="http://schemas.openxmlformats.org/drawingml/2006/main" xmlns:pic="http://schemas.openxmlformats.org/drawingml/2006/picture">
            <wp:extent cx="5486400" cy="2161309"/>
            <wp:docPr id="3" name="Picture 3"/>
            <wp:cNvGraphicFramePr>
              <a:graphicFrameLocks noChangeAspect="1"/>
            </wp:cNvGraphicFramePr>
            <a:graphic>
              <a:graphicData uri="http://schemas.openxmlformats.org/drawingml/2006/picture">
                <pic:pic>
                  <pic:nvPicPr>
                    <pic:cNvPr id="0" name="fig4_protocol_vs_defE.png"/>
                    <pic:cNvPicPr/>
                  </pic:nvPicPr>
                  <pic:blipFill>
                    <a:blip r:embed="rId11"/>
                    <a:stretch>
                      <a:fillRect/>
                    </a:stretch>
                  </pic:blipFill>
                  <pic:spPr>
                    <a:xfrm>
                      <a:off x="0" y="0"/>
                      <a:ext cx="5486400" cy="2161309"/>
                    </a:xfrm>
                    <a:prstGeom prst="rect"/>
                  </pic:spPr>
                </pic:pic>
              </a:graphicData>
            </a:graphic>
          </wp:inline>
        </w:drawing>
      </w:r>
    </w:p>
    <w:p>
      <w:pPr>
        <w:jc w:val="center"/>
      </w:pPr>
      <w:r>
        <w:rPr>
          <w:i/>
          <w:sz w:val="18"/>
        </w:rPr>
        <w:t>Fig. 4  双胎のIONV効果：制吐薬（広義）vs 制吐薬（狭義）</w:t>
      </w:r>
    </w:p>
    <w:p>
      <w:pPr>
        <w:pStyle w:val="Heading2"/>
      </w:pPr>
      <w:r>
        <w:rPr>
          <w:color w:val="000000"/>
        </w:rPr>
        <w:t>共変量感度分析</w:t>
      </w:r>
    </w:p>
    <w:p>
      <w:r>
        <w:t>制吐薬（狭義）における双胎の効果推定値の頑健性を検証するため、共変量感度分析を実施した（Table 3, Fig. 3）。</w:t>
      </w:r>
    </w:p>
    <w:p>
      <w:r>
        <w:t>粗オッズ比（双胎のみのモデル）は2.70（95%CI 1.21–6.04, P = 0.015）であった。年齢、手術時間など交絡因子を調整することで効果推定値はさらに増大し、縮小モデル（6共変量）ではaOR 3.18（P = 0.007）となった。</w:t>
      </w:r>
    </w:p>
    <w:p>
      <w:r>
        <w:t>全21モデル（粗モデル、各共変量の追加モデル9種、各共変量の除外モデル9種、縮小モデル2種）において、双胎のaORは2.56–3.67の範囲で一貫しており、すべてのモデルで統計学的に有意であった（P &lt; 0.05）。この結果は、制吐薬（狭義）における双胎の有意な関連が特定の共変量選択に依存しない頑健な所見であることを示している。</w:t>
      </w:r>
    </w:p>
    <w:p>
      <w:r>
        <w:rPr>
          <w:b/>
        </w:rPr>
        <w:t>Table 3. 共変量感度分析（制吐薬（狭義）主要評価項目）</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モデル</w:t>
            </w:r>
          </w:p>
        </w:tc>
        <w:tc>
          <w:tcPr>
            <w:tcW w:type="dxa" w:w="2160"/>
          </w:tcPr>
          <w:p>
            <w:r>
              <w:rPr>
                <w:b/>
                <w:sz w:val="18"/>
              </w:rPr>
              <w:t>aOR</w:t>
            </w:r>
          </w:p>
        </w:tc>
        <w:tc>
          <w:tcPr>
            <w:tcW w:type="dxa" w:w="2160"/>
          </w:tcPr>
          <w:p>
            <w:r>
              <w:rPr>
                <w:b/>
                <w:sz w:val="18"/>
              </w:rPr>
              <w:t>95% CI</w:t>
            </w:r>
          </w:p>
        </w:tc>
        <w:tc>
          <w:tcPr>
            <w:tcW w:type="dxa" w:w="2160"/>
          </w:tcPr>
          <w:p>
            <w:r>
              <w:rPr>
                <w:b/>
                <w:sz w:val="18"/>
              </w:rPr>
              <w:t>P値</w:t>
            </w:r>
          </w:p>
        </w:tc>
      </w:tr>
      <w:tr>
        <w:tc>
          <w:tcPr>
            <w:tcW w:type="dxa" w:w="2160"/>
          </w:tcPr>
          <w:p>
            <w:r>
              <w:rPr>
                <w:sz w:val="18"/>
              </w:rPr>
              <w:t>Crude (twin only)</w:t>
            </w:r>
          </w:p>
        </w:tc>
        <w:tc>
          <w:tcPr>
            <w:tcW w:type="dxa" w:w="2160"/>
          </w:tcPr>
          <w:p>
            <w:r>
              <w:rPr>
                <w:sz w:val="18"/>
              </w:rPr>
              <w:t>2.70</w:t>
            </w:r>
          </w:p>
        </w:tc>
        <w:tc>
          <w:tcPr>
            <w:tcW w:type="dxa" w:w="2160"/>
          </w:tcPr>
          <w:p>
            <w:r>
              <w:rPr>
                <w:sz w:val="18"/>
              </w:rPr>
              <w:t>1.21–6.04</w:t>
            </w:r>
          </w:p>
        </w:tc>
        <w:tc>
          <w:tcPr>
            <w:tcW w:type="dxa" w:w="2160"/>
          </w:tcPr>
          <w:p>
            <w:r>
              <w:rPr>
                <w:sz w:val="18"/>
              </w:rPr>
              <w:t>0.015</w:t>
            </w:r>
          </w:p>
        </w:tc>
      </w:tr>
      <w:tr>
        <w:tc>
          <w:tcPr>
            <w:tcW w:type="dxa" w:w="2160"/>
          </w:tcPr>
          <w:p>
            <w:r>
              <w:rPr>
                <w:sz w:val="18"/>
              </w:rPr>
              <w:t>Twin + Age (per year)</w:t>
            </w:r>
          </w:p>
        </w:tc>
        <w:tc>
          <w:tcPr>
            <w:tcW w:type="dxa" w:w="2160"/>
          </w:tcPr>
          <w:p>
            <w:r>
              <w:rPr>
                <w:sz w:val="18"/>
              </w:rPr>
              <w:t>3.03</w:t>
            </w:r>
          </w:p>
        </w:tc>
        <w:tc>
          <w:tcPr>
            <w:tcW w:type="dxa" w:w="2160"/>
          </w:tcPr>
          <w:p>
            <w:r>
              <w:rPr>
                <w:sz w:val="18"/>
              </w:rPr>
              <w:t>1.34–6.84</w:t>
            </w:r>
          </w:p>
        </w:tc>
        <w:tc>
          <w:tcPr>
            <w:tcW w:type="dxa" w:w="2160"/>
          </w:tcPr>
          <w:p>
            <w:r>
              <w:rPr>
                <w:sz w:val="18"/>
              </w:rPr>
              <w:t>0.008</w:t>
            </w:r>
          </w:p>
        </w:tc>
      </w:tr>
      <w:tr>
        <w:tc>
          <w:tcPr>
            <w:tcW w:type="dxa" w:w="2160"/>
          </w:tcPr>
          <w:p>
            <w:r>
              <w:rPr>
                <w:sz w:val="18"/>
              </w:rPr>
              <w:t>Twin + BMI (per kg/m²)</w:t>
            </w:r>
          </w:p>
        </w:tc>
        <w:tc>
          <w:tcPr>
            <w:tcW w:type="dxa" w:w="2160"/>
          </w:tcPr>
          <w:p>
            <w:r>
              <w:rPr>
                <w:sz w:val="18"/>
              </w:rPr>
              <w:t>2.72</w:t>
            </w:r>
          </w:p>
        </w:tc>
        <w:tc>
          <w:tcPr>
            <w:tcW w:type="dxa" w:w="2160"/>
          </w:tcPr>
          <w:p>
            <w:r>
              <w:rPr>
                <w:sz w:val="18"/>
              </w:rPr>
              <w:t>1.22–6.09</w:t>
            </w:r>
          </w:p>
        </w:tc>
        <w:tc>
          <w:tcPr>
            <w:tcW w:type="dxa" w:w="2160"/>
          </w:tcPr>
          <w:p>
            <w:r>
              <w:rPr>
                <w:sz w:val="18"/>
              </w:rPr>
              <w:t>0.015</w:t>
            </w:r>
          </w:p>
        </w:tc>
      </w:tr>
      <w:tr>
        <w:tc>
          <w:tcPr>
            <w:tcW w:type="dxa" w:w="2160"/>
          </w:tcPr>
          <w:p>
            <w:r>
              <w:rPr>
                <w:sz w:val="18"/>
              </w:rPr>
              <w:t>Twin + GA (per week)</w:t>
            </w:r>
          </w:p>
        </w:tc>
        <w:tc>
          <w:tcPr>
            <w:tcW w:type="dxa" w:w="2160"/>
          </w:tcPr>
          <w:p>
            <w:r>
              <w:rPr>
                <w:sz w:val="18"/>
              </w:rPr>
              <w:t>2.75</w:t>
            </w:r>
          </w:p>
        </w:tc>
        <w:tc>
          <w:tcPr>
            <w:tcW w:type="dxa" w:w="2160"/>
          </w:tcPr>
          <w:p>
            <w:r>
              <w:rPr>
                <w:sz w:val="18"/>
              </w:rPr>
              <w:t>1.22–6.22</w:t>
            </w:r>
          </w:p>
        </w:tc>
        <w:tc>
          <w:tcPr>
            <w:tcW w:type="dxa" w:w="2160"/>
          </w:tcPr>
          <w:p>
            <w:r>
              <w:rPr>
                <w:sz w:val="18"/>
              </w:rPr>
              <w:t>0.015</w:t>
            </w:r>
          </w:p>
        </w:tc>
      </w:tr>
      <w:tr>
        <w:tc>
          <w:tcPr>
            <w:tcW w:type="dxa" w:w="2160"/>
          </w:tcPr>
          <w:p>
            <w:r>
              <w:rPr>
                <w:sz w:val="18"/>
              </w:rPr>
              <w:t>Twin + Emergency CS</w:t>
            </w:r>
          </w:p>
        </w:tc>
        <w:tc>
          <w:tcPr>
            <w:tcW w:type="dxa" w:w="2160"/>
          </w:tcPr>
          <w:p>
            <w:r>
              <w:rPr>
                <w:sz w:val="18"/>
              </w:rPr>
              <w:t>2.68</w:t>
            </w:r>
          </w:p>
        </w:tc>
        <w:tc>
          <w:tcPr>
            <w:tcW w:type="dxa" w:w="2160"/>
          </w:tcPr>
          <w:p>
            <w:r>
              <w:rPr>
                <w:sz w:val="18"/>
              </w:rPr>
              <w:t>1.20–6.02</w:t>
            </w:r>
          </w:p>
        </w:tc>
        <w:tc>
          <w:tcPr>
            <w:tcW w:type="dxa" w:w="2160"/>
          </w:tcPr>
          <w:p>
            <w:r>
              <w:rPr>
                <w:sz w:val="18"/>
              </w:rPr>
              <w:t>0.017</w:t>
            </w:r>
          </w:p>
        </w:tc>
      </w:tr>
      <w:tr>
        <w:tc>
          <w:tcPr>
            <w:tcW w:type="dxa" w:w="2160"/>
          </w:tcPr>
          <w:p>
            <w:r>
              <w:rPr>
                <w:sz w:val="18"/>
              </w:rPr>
              <w:t>Twin + Prior CS</w:t>
            </w:r>
          </w:p>
        </w:tc>
        <w:tc>
          <w:tcPr>
            <w:tcW w:type="dxa" w:w="2160"/>
          </w:tcPr>
          <w:p>
            <w:r>
              <w:rPr>
                <w:sz w:val="18"/>
              </w:rPr>
              <w:t>2.56</w:t>
            </w:r>
          </w:p>
        </w:tc>
        <w:tc>
          <w:tcPr>
            <w:tcW w:type="dxa" w:w="2160"/>
          </w:tcPr>
          <w:p>
            <w:r>
              <w:rPr>
                <w:sz w:val="18"/>
              </w:rPr>
              <w:t>1.11–5.91</w:t>
            </w:r>
          </w:p>
        </w:tc>
        <w:tc>
          <w:tcPr>
            <w:tcW w:type="dxa" w:w="2160"/>
          </w:tcPr>
          <w:p>
            <w:r>
              <w:rPr>
                <w:sz w:val="18"/>
              </w:rPr>
              <w:t>0.028</w:t>
            </w:r>
          </w:p>
        </w:tc>
      </w:tr>
      <w:tr>
        <w:tc>
          <w:tcPr>
            <w:tcW w:type="dxa" w:w="2160"/>
          </w:tcPr>
          <w:p>
            <w:r>
              <w:rPr>
                <w:sz w:val="18"/>
              </w:rPr>
              <w:t>Twin + HDP</w:t>
            </w:r>
          </w:p>
        </w:tc>
        <w:tc>
          <w:tcPr>
            <w:tcW w:type="dxa" w:w="2160"/>
          </w:tcPr>
          <w:p>
            <w:r>
              <w:rPr>
                <w:sz w:val="18"/>
              </w:rPr>
              <w:t>2.70</w:t>
            </w:r>
          </w:p>
        </w:tc>
        <w:tc>
          <w:tcPr>
            <w:tcW w:type="dxa" w:w="2160"/>
          </w:tcPr>
          <w:p>
            <w:r>
              <w:rPr>
                <w:sz w:val="18"/>
              </w:rPr>
              <w:t>1.21–6.03</w:t>
            </w:r>
          </w:p>
        </w:tc>
        <w:tc>
          <w:tcPr>
            <w:tcW w:type="dxa" w:w="2160"/>
          </w:tcPr>
          <w:p>
            <w:r>
              <w:rPr>
                <w:sz w:val="18"/>
              </w:rPr>
              <w:t>0.016</w:t>
            </w:r>
          </w:p>
        </w:tc>
      </w:tr>
      <w:tr>
        <w:tc>
          <w:tcPr>
            <w:tcW w:type="dxa" w:w="2160"/>
          </w:tcPr>
          <w:p>
            <w:r>
              <w:rPr>
                <w:sz w:val="18"/>
              </w:rPr>
              <w:t>Twin + Epidural anesthesia</w:t>
            </w:r>
          </w:p>
        </w:tc>
        <w:tc>
          <w:tcPr>
            <w:tcW w:type="dxa" w:w="2160"/>
          </w:tcPr>
          <w:p>
            <w:r>
              <w:rPr>
                <w:sz w:val="18"/>
              </w:rPr>
              <w:t>2.67</w:t>
            </w:r>
          </w:p>
        </w:tc>
        <w:tc>
          <w:tcPr>
            <w:tcW w:type="dxa" w:w="2160"/>
          </w:tcPr>
          <w:p>
            <w:r>
              <w:rPr>
                <w:sz w:val="18"/>
              </w:rPr>
              <w:t>1.19–5.98</w:t>
            </w:r>
          </w:p>
        </w:tc>
        <w:tc>
          <w:tcPr>
            <w:tcW w:type="dxa" w:w="2160"/>
          </w:tcPr>
          <w:p>
            <w:r>
              <w:rPr>
                <w:sz w:val="18"/>
              </w:rPr>
              <w:t>0.017</w:t>
            </w:r>
          </w:p>
        </w:tc>
      </w:tr>
      <w:tr>
        <w:tc>
          <w:tcPr>
            <w:tcW w:type="dxa" w:w="2160"/>
          </w:tcPr>
          <w:p>
            <w:r>
              <w:rPr>
                <w:sz w:val="18"/>
              </w:rPr>
              <w:t>Twin + Surgery time (per min)</w:t>
            </w:r>
          </w:p>
        </w:tc>
        <w:tc>
          <w:tcPr>
            <w:tcW w:type="dxa" w:w="2160"/>
          </w:tcPr>
          <w:p>
            <w:r>
              <w:rPr>
                <w:sz w:val="18"/>
              </w:rPr>
              <w:t>3.36</w:t>
            </w:r>
          </w:p>
        </w:tc>
        <w:tc>
          <w:tcPr>
            <w:tcW w:type="dxa" w:w="2160"/>
          </w:tcPr>
          <w:p>
            <w:r>
              <w:rPr>
                <w:sz w:val="18"/>
              </w:rPr>
              <w:t>1.48–7.67</w:t>
            </w:r>
          </w:p>
        </w:tc>
        <w:tc>
          <w:tcPr>
            <w:tcW w:type="dxa" w:w="2160"/>
          </w:tcPr>
          <w:p>
            <w:r>
              <w:rPr>
                <w:sz w:val="18"/>
              </w:rPr>
              <w:t>0.004</w:t>
            </w:r>
          </w:p>
        </w:tc>
      </w:tr>
      <w:tr>
        <w:tc>
          <w:tcPr>
            <w:tcW w:type="dxa" w:w="2160"/>
          </w:tcPr>
          <w:p>
            <w:r>
              <w:rPr>
                <w:sz w:val="18"/>
              </w:rPr>
              <w:t>Twin + Hypotension (SBP &lt; 90)</w:t>
            </w:r>
          </w:p>
        </w:tc>
        <w:tc>
          <w:tcPr>
            <w:tcW w:type="dxa" w:w="2160"/>
          </w:tcPr>
          <w:p>
            <w:r>
              <w:rPr>
                <w:sz w:val="18"/>
              </w:rPr>
              <w:t>2.77</w:t>
            </w:r>
          </w:p>
        </w:tc>
        <w:tc>
          <w:tcPr>
            <w:tcW w:type="dxa" w:w="2160"/>
          </w:tcPr>
          <w:p>
            <w:r>
              <w:rPr>
                <w:sz w:val="18"/>
              </w:rPr>
              <w:t>1.24–6.20</w:t>
            </w:r>
          </w:p>
        </w:tc>
        <w:tc>
          <w:tcPr>
            <w:tcW w:type="dxa" w:w="2160"/>
          </w:tcPr>
          <w:p>
            <w:r>
              <w:rPr>
                <w:sz w:val="18"/>
              </w:rPr>
              <w:t>0.013</w:t>
            </w:r>
          </w:p>
        </w:tc>
      </w:tr>
      <w:tr>
        <w:tc>
          <w:tcPr>
            <w:tcW w:type="dxa" w:w="2160"/>
          </w:tcPr>
          <w:p>
            <w:r>
              <w:rPr>
                <w:sz w:val="18"/>
              </w:rPr>
              <w:t>Full minus BMI (per kg/m²)</w:t>
            </w:r>
          </w:p>
        </w:tc>
        <w:tc>
          <w:tcPr>
            <w:tcW w:type="dxa" w:w="2160"/>
          </w:tcPr>
          <w:p>
            <w:r>
              <w:rPr>
                <w:sz w:val="18"/>
              </w:rPr>
              <w:t>3.00</w:t>
            </w:r>
          </w:p>
        </w:tc>
        <w:tc>
          <w:tcPr>
            <w:tcW w:type="dxa" w:w="2160"/>
          </w:tcPr>
          <w:p>
            <w:r>
              <w:rPr>
                <w:sz w:val="18"/>
              </w:rPr>
              <w:t>1.21–7.46</w:t>
            </w:r>
          </w:p>
        </w:tc>
        <w:tc>
          <w:tcPr>
            <w:tcW w:type="dxa" w:w="2160"/>
          </w:tcPr>
          <w:p>
            <w:r>
              <w:rPr>
                <w:sz w:val="18"/>
              </w:rPr>
              <w:t>0.018</w:t>
            </w:r>
          </w:p>
        </w:tc>
      </w:tr>
      <w:tr>
        <w:tc>
          <w:tcPr>
            <w:tcW w:type="dxa" w:w="2160"/>
          </w:tcPr>
          <w:p>
            <w:r>
              <w:rPr>
                <w:sz w:val="18"/>
              </w:rPr>
              <w:t>Full minus Emergency CS</w:t>
            </w:r>
          </w:p>
        </w:tc>
        <w:tc>
          <w:tcPr>
            <w:tcW w:type="dxa" w:w="2160"/>
          </w:tcPr>
          <w:p>
            <w:r>
              <w:rPr>
                <w:sz w:val="18"/>
              </w:rPr>
              <w:t>3.14</w:t>
            </w:r>
          </w:p>
        </w:tc>
        <w:tc>
          <w:tcPr>
            <w:tcW w:type="dxa" w:w="2160"/>
          </w:tcPr>
          <w:p>
            <w:r>
              <w:rPr>
                <w:sz w:val="18"/>
              </w:rPr>
              <w:t>1.31–7.51</w:t>
            </w:r>
          </w:p>
        </w:tc>
        <w:tc>
          <w:tcPr>
            <w:tcW w:type="dxa" w:w="2160"/>
          </w:tcPr>
          <w:p>
            <w:r>
              <w:rPr>
                <w:sz w:val="18"/>
              </w:rPr>
              <w:t>0.010</w:t>
            </w:r>
          </w:p>
        </w:tc>
      </w:tr>
      <w:tr>
        <w:tc>
          <w:tcPr>
            <w:tcW w:type="dxa" w:w="2160"/>
          </w:tcPr>
          <w:p>
            <w:r>
              <w:rPr>
                <w:sz w:val="18"/>
              </w:rPr>
              <w:t>Full minus Prior CS</w:t>
            </w:r>
          </w:p>
        </w:tc>
        <w:tc>
          <w:tcPr>
            <w:tcW w:type="dxa" w:w="2160"/>
          </w:tcPr>
          <w:p>
            <w:r>
              <w:rPr>
                <w:sz w:val="18"/>
              </w:rPr>
              <w:t>3.67</w:t>
            </w:r>
          </w:p>
        </w:tc>
        <w:tc>
          <w:tcPr>
            <w:tcW w:type="dxa" w:w="2160"/>
          </w:tcPr>
          <w:p>
            <w:r>
              <w:rPr>
                <w:sz w:val="18"/>
              </w:rPr>
              <w:t>1.54–8.73</w:t>
            </w:r>
          </w:p>
        </w:tc>
        <w:tc>
          <w:tcPr>
            <w:tcW w:type="dxa" w:w="2160"/>
          </w:tcPr>
          <w:p>
            <w:r>
              <w:rPr>
                <w:sz w:val="18"/>
              </w:rPr>
              <w:t>0.003</w:t>
            </w:r>
          </w:p>
        </w:tc>
      </w:tr>
      <w:tr>
        <w:tc>
          <w:tcPr>
            <w:tcW w:type="dxa" w:w="2160"/>
          </w:tcPr>
          <w:p>
            <w:r>
              <w:rPr>
                <w:sz w:val="18"/>
              </w:rPr>
              <w:t>Full minus HDP</w:t>
            </w:r>
          </w:p>
        </w:tc>
        <w:tc>
          <w:tcPr>
            <w:tcW w:type="dxa" w:w="2160"/>
          </w:tcPr>
          <w:p>
            <w:r>
              <w:rPr>
                <w:sz w:val="18"/>
              </w:rPr>
              <w:t>3.01</w:t>
            </w:r>
          </w:p>
        </w:tc>
        <w:tc>
          <w:tcPr>
            <w:tcW w:type="dxa" w:w="2160"/>
          </w:tcPr>
          <w:p>
            <w:r>
              <w:rPr>
                <w:sz w:val="18"/>
              </w:rPr>
              <w:t>1.21–7.51</w:t>
            </w:r>
          </w:p>
        </w:tc>
        <w:tc>
          <w:tcPr>
            <w:tcW w:type="dxa" w:w="2160"/>
          </w:tcPr>
          <w:p>
            <w:r>
              <w:rPr>
                <w:sz w:val="18"/>
              </w:rPr>
              <w:t>0.018</w:t>
            </w:r>
          </w:p>
        </w:tc>
      </w:tr>
      <w:tr>
        <w:tc>
          <w:tcPr>
            <w:tcW w:type="dxa" w:w="2160"/>
          </w:tcPr>
          <w:p>
            <w:r>
              <w:rPr>
                <w:sz w:val="18"/>
              </w:rPr>
              <w:t>Full minus Epidural anesthesia</w:t>
            </w:r>
          </w:p>
        </w:tc>
        <w:tc>
          <w:tcPr>
            <w:tcW w:type="dxa" w:w="2160"/>
          </w:tcPr>
          <w:p>
            <w:r>
              <w:rPr>
                <w:sz w:val="18"/>
              </w:rPr>
              <w:t>3.36</w:t>
            </w:r>
          </w:p>
        </w:tc>
        <w:tc>
          <w:tcPr>
            <w:tcW w:type="dxa" w:w="2160"/>
          </w:tcPr>
          <w:p>
            <w:r>
              <w:rPr>
                <w:sz w:val="18"/>
              </w:rPr>
              <w:t>1.37–8.28</w:t>
            </w:r>
          </w:p>
        </w:tc>
        <w:tc>
          <w:tcPr>
            <w:tcW w:type="dxa" w:w="2160"/>
          </w:tcPr>
          <w:p>
            <w:r>
              <w:rPr>
                <w:sz w:val="18"/>
              </w:rPr>
              <w:t>0.008</w:t>
            </w:r>
          </w:p>
        </w:tc>
      </w:tr>
      <w:tr>
        <w:tc>
          <w:tcPr>
            <w:tcW w:type="dxa" w:w="2160"/>
          </w:tcPr>
          <w:p>
            <w:r>
              <w:rPr>
                <w:sz w:val="18"/>
              </w:rPr>
              <w:t>Full minus Surgery time (per min)</w:t>
            </w:r>
          </w:p>
        </w:tc>
        <w:tc>
          <w:tcPr>
            <w:tcW w:type="dxa" w:w="2160"/>
          </w:tcPr>
          <w:p>
            <w:r>
              <w:rPr>
                <w:sz w:val="18"/>
              </w:rPr>
              <w:t>2.69</w:t>
            </w:r>
          </w:p>
        </w:tc>
        <w:tc>
          <w:tcPr>
            <w:tcW w:type="dxa" w:w="2160"/>
          </w:tcPr>
          <w:p>
            <w:r>
              <w:rPr>
                <w:sz w:val="18"/>
              </w:rPr>
              <w:t>1.09–6.65</w:t>
            </w:r>
          </w:p>
        </w:tc>
        <w:tc>
          <w:tcPr>
            <w:tcW w:type="dxa" w:w="2160"/>
          </w:tcPr>
          <w:p>
            <w:r>
              <w:rPr>
                <w:sz w:val="18"/>
              </w:rPr>
              <w:t>0.032</w:t>
            </w:r>
          </w:p>
        </w:tc>
      </w:tr>
      <w:tr>
        <w:tc>
          <w:tcPr>
            <w:tcW w:type="dxa" w:w="2160"/>
          </w:tcPr>
          <w:p>
            <w:r>
              <w:rPr>
                <w:sz w:val="18"/>
              </w:rPr>
              <w:t>Full minus Hypotension (SBP &lt; 90)</w:t>
            </w:r>
          </w:p>
        </w:tc>
        <w:tc>
          <w:tcPr>
            <w:tcW w:type="dxa" w:w="2160"/>
          </w:tcPr>
          <w:p>
            <w:r>
              <w:rPr>
                <w:sz w:val="18"/>
              </w:rPr>
              <w:t>2.94</w:t>
            </w:r>
          </w:p>
        </w:tc>
        <w:tc>
          <w:tcPr>
            <w:tcW w:type="dxa" w:w="2160"/>
          </w:tcPr>
          <w:p>
            <w:r>
              <w:rPr>
                <w:sz w:val="18"/>
              </w:rPr>
              <w:t>1.18–7.32</w:t>
            </w:r>
          </w:p>
        </w:tc>
        <w:tc>
          <w:tcPr>
            <w:tcW w:type="dxa" w:w="2160"/>
          </w:tcPr>
          <w:p>
            <w:r>
              <w:rPr>
                <w:sz w:val="18"/>
              </w:rPr>
              <w:t>0.020</w:t>
            </w:r>
          </w:p>
        </w:tc>
      </w:tr>
      <w:tr>
        <w:tc>
          <w:tcPr>
            <w:tcW w:type="dxa" w:w="2160"/>
          </w:tcPr>
          <w:p>
            <w:r>
              <w:rPr>
                <w:sz w:val="18"/>
              </w:rPr>
              <w:t>Reduced (6 covariates)</w:t>
            </w:r>
          </w:p>
        </w:tc>
        <w:tc>
          <w:tcPr>
            <w:tcW w:type="dxa" w:w="2160"/>
          </w:tcPr>
          <w:p>
            <w:r>
              <w:rPr>
                <w:sz w:val="18"/>
              </w:rPr>
              <w:t>3.18</w:t>
            </w:r>
          </w:p>
        </w:tc>
        <w:tc>
          <w:tcPr>
            <w:tcW w:type="dxa" w:w="2160"/>
          </w:tcPr>
          <w:p>
            <w:r>
              <w:rPr>
                <w:sz w:val="18"/>
              </w:rPr>
              <w:t>1.38–7.36</w:t>
            </w:r>
          </w:p>
        </w:tc>
        <w:tc>
          <w:tcPr>
            <w:tcW w:type="dxa" w:w="2160"/>
          </w:tcPr>
          <w:p>
            <w:r>
              <w:rPr>
                <w:sz w:val="18"/>
              </w:rPr>
              <w:t>0.007</w:t>
            </w:r>
          </w:p>
        </w:tc>
      </w:tr>
    </w:tbl>
    <w:p/>
    <w:p>
      <w:pPr>
        <w:jc w:val="center"/>
      </w:pPr>
      <w:r>
        <w:drawing>
          <wp:inline xmlns:a="http://schemas.openxmlformats.org/drawingml/2006/main" xmlns:pic="http://schemas.openxmlformats.org/drawingml/2006/picture">
            <wp:extent cx="5486400" cy="4564316"/>
            <wp:docPr id="4" name="Picture 4"/>
            <wp:cNvGraphicFramePr>
              <a:graphicFrameLocks noChangeAspect="1"/>
            </wp:cNvGraphicFramePr>
            <a:graphic>
              <a:graphicData uri="http://schemas.openxmlformats.org/drawingml/2006/picture">
                <pic:pic>
                  <pic:nvPicPr>
                    <pic:cNvPr id="0" name="fig3_covariate_sensitivity.png"/>
                    <pic:cNvPicPr/>
                  </pic:nvPicPr>
                  <pic:blipFill>
                    <a:blip r:embed="rId12"/>
                    <a:stretch>
                      <a:fillRect/>
                    </a:stretch>
                  </pic:blipFill>
                  <pic:spPr>
                    <a:xfrm>
                      <a:off x="0" y="0"/>
                      <a:ext cx="5486400" cy="4564316"/>
                    </a:xfrm>
                    <a:prstGeom prst="rect"/>
                  </pic:spPr>
                </pic:pic>
              </a:graphicData>
            </a:graphic>
          </wp:inline>
        </w:drawing>
      </w:r>
    </w:p>
    <w:p>
      <w:pPr>
        <w:jc w:val="center"/>
      </w:pPr>
      <w:r>
        <w:rPr>
          <w:i/>
          <w:sz w:val="18"/>
        </w:rPr>
        <w:t>Fig. 3  共変量感度分析：双胎の制吐薬（狭義）使用に対する効果</w:t>
      </w:r>
    </w:p>
    <w:p>
      <w:pPr>
        <w:pStyle w:val="Heading2"/>
      </w:pPr>
      <w:r>
        <w:rPr>
          <w:color w:val="000000"/>
        </w:rPr>
        <w:t>考察</w:t>
      </w:r>
    </w:p>
    <w:p>
      <w:r>
        <w:t>本研究では、帝王切開術中のIONVに対する双胎妊娠の影響を後方視的に検討した。制吐薬全般の使用（広義の定義）では、単胎と双胎の間にIONV発生率の有意差を認めなかった。</w:t>
      </w:r>
    </w:p>
    <w:p>
      <w:r>
        <w:t>一方、5-HT3受容体拮抗薬の使用に限定した狭義の定義では、双胎群で有意に高率であり（aOR 3.18, P = 0.007）、この結果は共変量感度分析においても一貫して頑健であった。制吐薬として記録された7剤のうち、メトクロプラミドやドロペリドールは消化管運動促進や鎮静など制吐以外の目的でも使用される。5-HT3拮抗薬は嘔気嘔吐に対する特異性が高く、その投与はより確実に臨床的に有意な嘔気嘔吐の存在を反映していると考えられる。</w:t>
      </w:r>
    </w:p>
    <w:p>
      <w:r>
        <w:t>すなわち、双胎妊娠ではIONVの全体的な発生頻度は単胎と同等であるものの、5-HT3拮抗薬が必要となるレベルの強い嘔気嘔吐がより高頻度に発生する可能性が示唆された。ただし、本研究は後方視的デザインであり、制吐薬の選択は術者の裁量に依存するため、処方パターンの偏り（双胎に対してより積極的に5-HT3拮抗薬を選択する傾向）が交絡因子として残る可能性がある。</w:t>
      </w:r>
    </w:p>
    <w:p>
      <w:r>
        <w:t>また、制吐薬（狭義）のイベント数は33件と少数であり、信頼区間が比較的広い点に留意が必要である。今後、前方視的研究やIONVの重症度評価を含めた検討が望まれる。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