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8.99, 95% CI 2.50–32.29, P &lt; 0.001), and the narrow-definition secondary outcome also reached significance (aOR 8.39, 95% CI 1.21–58.18, P = 0.031). In contrast, among emergency cases, the twin effect was entirely absent (narrow primary aOR 0.95, P = 0.958).</w:t>
      </w:r>
    </w:p>
    <w:p>
      <w:r>
        <w:t>Notably, under the broad definition in elective cases, the twin group showed significantly lower IONV (18.5% vs 14.0%; aOR 0.64, P = 0.047). Interaction analysis revealed a significant emergency × twin interaction for the broad primary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Broad, Secondary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Narrow, Primary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Narrow, Secondary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Emergency only</w:t>
            </w:r>
          </w:p>
        </w:tc>
        <w:tc>
          <w:tcPr>
            <w:tcW w:type="dxa" w:w="1234"/>
          </w:tcPr>
          <w:p>
            <w:r>
              <w:rPr>
                <w:sz w:val="16"/>
              </w:rPr>
              <w:t>Broad, Primary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Broad, Secondary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Narrow, Primary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Narrow, Secondary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33; subgroup analysis: 8),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aOR increased substantially to 8.99 and the secondary outcome also reached significance. In contrast, among emergency cases the twin effect was completely absent. A significant emergency × twin interaction for the broad primary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However, antiemetic prescribing patterns may vary across institutions and eras, and caution is warranted in extrapolating these results.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