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Hotter-than-normal days and traffic-crash mortality: a distributed-lag analysis of the United States and Japan and the question of under-recognised heat illness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Abstract</w:t>
      </w:r>
    </w:p>
    <w:p>
      <w:pPr>
        <w:spacing w:after="120" w:line="480" w:lineRule="auto"/>
      </w:pPr>
      <w:r>
        <w:t>Heat waves are increasing under climate change and ambient heat drives mortality. Because driving continues in the heat, some fatal crashes may involve heat-related impairment or undiagnosed heat illness that is never recorded. We estimated the potential population-level traffic-crash mortality burden of such under-recognised heat effects in the USA and Japan. In this ecological time-series study we fitted quasi-Poisson distributed-lag models of the local seasonal temperature anomaly to state-day (USA) and prefecture-day (Japan) panels, adjusting for spatial, seasonal, long-term-trend and day-of-week terms. Data were the US Fatality Analysis Reporting System (2016-2022) and Japanese National Police Agency accident open data (2019-2024), linked to Global Historical Climatology Network-Daily (GHCN-Daily) temperature. In the USA (270,497 crash deaths) a +9°C anomaly raised same-day crash mortality (rate ratio [RR] 1.165 (95% CI 1.134-1.196)), unchanged after adjusting for national driving activity (RR 1.162). The excess was larger for open-air road users (motorcyclists 2.141, pedestrians 1.213) than vehicle occupants (1.050). Net heat-attributable deaths were 513 per year (1.33%), similar to the 527 officially recorded direct-heat deaths per year (ICD-10 X30); +1 to +3°C warming projected 339-983 additional deaths per year. In Japan (11,576 deaths) the estimate was directionally similar but imprecise. Unusually hot days are associated with an acute excess of US traffic-crash deaths comparable to all recorded direct-heat mortality, concentrated in heat-exposed road users and projected to grow with warming. They are consistent with an under-recognised heat contribution but cannot establish heat illness in any individual crash, and open-air gradients may partly reflect weather-related activity.</w:t>
      </w:r>
    </w:p>
    <w:p>
      <w:pPr>
        <w:spacing w:after="120" w:line="480" w:lineRule="auto"/>
      </w:pPr>
      <w:r/>
      <w:r>
        <w:rPr>
          <w:b/>
        </w:rPr>
        <w:t xml:space="preserve">Keywords: </w:t>
      </w:r>
      <w:r>
        <w:t>heat; traffic crash; mortality; climate change; distributed-lag model; road safety</w:t>
      </w:r>
    </w:p>
    <w:p>
      <w:pPr>
        <w:pStyle w:val="Heading1"/>
      </w:pPr>
      <w:r>
        <w:t>1. Introduction</w:t>
      </w:r>
    </w:p>
    <w:p>
      <w:pPr>
        <w:spacing w:after="120" w:line="480" w:lineRule="auto"/>
      </w:pPr>
      <w:r>
        <w:t>Heat waves are becoming more frequent under climate change, and ambient heat is an established driver of mortality</w:t>
      </w:r>
      <w:r>
        <w:rPr/>
        <w:t xml:space="preserve"> [1,2].</w:t>
      </w:r>
      <w:r>
        <w:t xml:space="preserve"> Occupational and driving activity do not stop during heat, so some fatal accidents plausibly involve heat-related impairment or frank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w:t>
      </w:r>
    </w:p>
    <w:p>
      <w:pPr>
        <w:pStyle w:val="Heading1"/>
      </w:pPr>
      <w:r>
        <w:t>2. Methods</w:t>
      </w:r>
    </w:p>
    <w:p>
      <w:pPr>
        <w:spacing w:after="40" w:line="480" w:lineRule="auto"/>
      </w:pPr>
      <w:r>
        <w:t>We built daily panels of traffic-crash deaths by US state (FARS, 2016-2022)</w:t>
      </w:r>
      <w:r>
        <w:rPr/>
        <w:t xml:space="preserve"> [3]</w:t>
      </w:r>
      <w:r>
        <w:t xml:space="preserve"> and by Japanese prefecture (NPA accident open data, 2019-2024)</w:t>
      </w:r>
      <w:r>
        <w:rPr/>
        <w:t xml:space="preserve"> [4].</w:t>
      </w:r>
      <w:r>
        <w:t xml:space="preserve"> Daily mean temperature was taken from GHCN-Daily stations</w:t>
      </w:r>
      <w:r>
        <w:rPr/>
        <w:t xml:space="preserve"> [5]</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[6]</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t xml:space="preserve"> [7]</w:t>
      </w:r>
      <w:r>
        <w:t xml:space="preserve"> with Monte Carlo (MC) confidence intervals (CIs). As a sensitivity analysis for the US we added national vehicle-miles travelled (VMT)</w:t>
      </w:r>
      <w:r>
        <w:rPr/>
        <w:t xml:space="preserve"> [8]</w:t>
      </w:r>
      <w:r>
        <w:t xml:space="preserve"> and finished-motor-gasoline product supplied</w:t>
      </w:r>
      <w:r>
        <w:rPr/>
        <w:t xml:space="preserve"> [9]</w:t>
      </w:r>
      <w:r>
        <w:t xml:space="preserve"> as activity proxies. Officially recorded direct-heat deaths (International Classification of Diseases, 10th revision [ICD-10] code X30) were obtained from CDC WONDER</w:t>
      </w:r>
      <w:r>
        <w:rPr/>
        <w:t xml:space="preserve"> [10].</w:t>
      </w:r>
      <w:r>
        <w:t xml:space="preserve">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implied by uniform warming of the daily temperature distribution (+1, +2, +3 C), holding activity and baseline rates constant. All data are public and the full pipeline is reproducible from source (see Data sharing). Reporting follows the Strengthening the Reporting of Observational Studies in Epidemiology (STROBE) guideline (checklist provided).</w:t>
      </w:r>
    </w:p>
    <w:p>
      <w:pPr>
        <w:pStyle w:val="Heading1"/>
      </w:pPr>
      <w:r>
        <w:t>3. 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raised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indicating that day-to-day driving volume does not explain the effect.</w:t>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t xml:space="preserve"> [11],</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all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Figure 7. </w:t>
      </w:r>
      <w:r>
        <w:t>United States comparison of estimated net heat-attributable crash deaths per year with officially recorded direct-heat deaths (ICD-10 X30) from CDC WONDER.</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[12].</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Directly comparing the two countries (Fig. 10), the US shows a precise acute effect whereas the Japanese panel, with roughly fifteen times fewer annual crash deaths and sparser temperature coverage, 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4. Discussion</w:t>
      </w:r>
    </w:p>
    <w:p>
      <w:pPr>
        <w:spacing w:after="120" w:line="480" w:lineRule="auto"/>
      </w:pPr>
      <w:r>
        <w:t>Days hotter than the local seasonal norm are associated with an acute, same-day excess of US traffic-crash deaths that is not explained by aggregate driving activity and is comparable in magnitude to all officially recorded direct-heat mortality. This is consistent with the hypothesis that heat-related impairment and under-recognised heat illness contribute to road deaths without appearing in cause-of-death data. The 1-3 day deficit indicates that part of the acute excess reflects short-term displacement, so the net annual burden is smaller than the same-day spike alone would imply.</w:t>
      </w:r>
    </w:p>
    <w:p>
      <w:pPr>
        <w:spacing w:after="120" w:line="480" w:lineRule="auto"/>
      </w:pPr>
      <w:r>
        <w:t>Two features of the data point towards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are what one would expect if heat degrades psychomotor and cognitive performance. These gradients are not proof of mechanism, however: open-air travel is itself weather-elastic,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invisible to heat-mortality surveillance.</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results motivate, but do not substitute for, individual-level studies linking crash decedents to ambient heat and, where available, post-mortem findings.</w:t>
      </w:r>
    </w:p>
    <w:p>
      <w:pPr>
        <w:pStyle w:val="Heading1"/>
      </w:pPr>
      <w:r>
        <w:t>5. Conclusion</w:t>
      </w:r>
    </w:p>
    <w:p>
      <w:pPr>
        <w:spacing w:after="120" w:line="480" w:lineRule="auto"/>
      </w:pPr>
      <w:r>
        <w:t>Unusually hot days raise US traffic-crash mortality acutely, by an amount similar to all recorded direct-heat deaths, supporting the plausibility of an under-recognised heat contribution to road deaths. The Japanese data are consistent in direction on some specifications but too sparse for a firm conclusion.</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interests</w:t>
      </w:r>
    </w:p>
    <w:p>
      <w:pPr>
        <w:spacing w:after="120" w:line="480" w:lineRule="auto"/>
      </w:pPr>
      <w:r>
        <w:t>[PLACEHOLDER — replace before submission.] We declare no competing interests.</w:t>
      </w:r>
    </w:p>
    <w:p>
      <w:pPr>
        <w:pStyle w:val="Heading1"/>
      </w:pPr>
      <w:r>
        <w:t>Role of the funding source</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Use of generative AI</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sharing</w:t>
      </w:r>
    </w:p>
    <w:p>
      <w:pPr>
        <w:spacing w:after="120" w:line="480" w:lineRule="auto"/>
      </w:pPr>
      <w:r>
        <w:t>All data are public: FARS, GHCN-Daily, CDC WONDER, FHWA/FRED, EIA and the Japanese NPA accident open data (see References for sources). The complete analysis code and one-command reproduction pipeline (make all)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