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Highlights</w:t>
      </w:r>
    </w:p>
    <w:p>
      <w:pPr>
        <w:pStyle w:val="ListBullet"/>
      </w:pPr>
      <w:r>
        <w:t>Scoping review of 2,169 records yields 18 direct micromobility studies.</w:t>
      </w:r>
    </w:p>
    <w:p>
      <w:pPr>
        <w:pStyle w:val="ListBullet"/>
      </w:pPr>
      <w:r>
        <w:t>GBFS audit: persistent IDs and GPS are published in almost every feed.</w:t>
      </w:r>
    </w:p>
    <w:p>
      <w:pPr>
        <w:pStyle w:val="ListBullet"/>
      </w:pPr>
      <w:r>
        <w:t>Privacy notices rarely address battery data, vulnerability disclosure, or disposal.</w:t>
      </w:r>
    </w:p>
    <w:p>
      <w:pPr>
        <w:pStyle w:val="ListBullet"/>
      </w:pPr>
      <w:r>
        <w:t>A reproducible lifecycle model links evidence strength to policy controls.</w:t>
      </w:r>
    </w:p>
    <w:p>
      <w:pPr>
        <w:pStyle w:val="ListBullet"/>
      </w:pPr>
      <w:r>
        <w:t>Findings are disclosure signals, not evidence of privacy harm.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