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Sensitivity-analysis framework for evaluating malpractice-litigation risk as a healthcare workforce-allocation lever.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9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9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3.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6. Cluster block-bootstrap p-values, percentile 95% confidence intervals, equivalence power (if true effect is zero), and minimum detectable effect per 1-SD litigation-rate increase.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95%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Equivalence 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Power if true null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(80% power)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100.0%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99.6%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7. Counterfactual 2034 physician counts by specialty and policy lever. Counts are projected from observed biennial baseline drift plus the indicated effect; marginal percentage changes are shown in Figure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Specialty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2024 count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2034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Litigation zero (point)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Litigation zero (95% lower)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benchmark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Internal medicine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124,010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136,909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138,010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142,075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144,492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26,885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26,299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26,853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28,960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27,755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Orthopaedics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22,630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24,848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25,346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27,239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26,224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Plastic 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5,074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7,874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8,177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9,376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8,310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Obstetrics &amp; gynaecology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13,908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14,877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15,191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16,387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15,700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Paediatrics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18,009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19,949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20,295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21,054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Psychiatry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17,259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20,199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20,391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21,102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21,317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Ophthalmology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13,436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13,957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14,058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14,430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14,730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Otolaryngology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9,460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9,520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9,744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9,984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Urology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8,069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9,333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9,425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9,766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9,849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Dermatology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10,043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11,411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11,479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11,732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12,042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Anaesthesiology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10,628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13,699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13,745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14,458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All specialties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279,281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308,815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312,218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325,021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325,915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8. Specialist-trainee coverage by specialty. Coverage is the number of 2018 first-year specialist trainees divided by the number of physicians reported 3–5 years after medical registration in 2014, by primary specialty.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Specialty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2018 specialist trainees (senkoi)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Physicians 3–5 yr after registration (2014)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H24 cohort 3rd year (2012)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H24 cohort 5th year (2014)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Coverage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Internal medicine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2,670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21,536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2,630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2,621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12.4%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805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735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81.7%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Orthopaedics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552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2,291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457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472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24.1%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Plastic 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163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51.4%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Obstetrics &amp; gynaecology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1,383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342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31.9%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Paediatrics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7,950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447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433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Psychiatry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637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354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69.2%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Ophthalmology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1,051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Otolaryngology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617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43.3%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Urology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568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48.2%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Dermatology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1,405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19.3%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Anaesthesiology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1,091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378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45.4%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