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Hotter-than-normal days and traffic-crash mortality: a distributed-lag analysis of the United States and Japan and the question of under-recognised heat illness</w:t>
      </w:r>
    </w:p>
    <w:p>
      <w:pPr>
        <w:jc w:val="center"/>
      </w:pPr>
      <w:r>
        <w:t>[PLACEHOLDER author list — Given-name Family-name, degrees; ... — replace before submission]</w:t>
      </w:r>
    </w:p>
    <w:p>
      <w:pPr>
        <w:jc w:val="center"/>
      </w:pPr>
      <w:r>
        <w:t>[PLACEHOLDER affiliations, numbered to authors]</w:t>
      </w:r>
    </w:p>
    <w:p>
      <w:pPr>
        <w:jc w:val="center"/>
      </w:pPr>
      <w:r>
        <w:t>Correspondence to: [PLACEHOLDER corresponding author, address, email, ORCID]</w:t>
      </w:r>
    </w:p>
    <w:p>
      <w:pPr>
        <w:pStyle w:val="Heading1"/>
      </w:pPr>
      <w:r>
        <w:t>Summary</w:t>
      </w:r>
    </w:p>
    <w:p>
      <w:pPr>
        <w:spacing w:after="120" w:line="480" w:lineRule="auto"/>
      </w:pPr>
      <w:r>
        <w:rPr>
          <w:b/>
        </w:rPr>
        <w:t xml:space="preserve">Background </w:t>
      </w:r>
      <w:r>
        <w:t>Heat waves are increasing under climate change and ambient heat drives mortality. Because driving continues in the heat, some fatal crashes may involve heat-related impairment or undiagnosed heat illness that is never recorded. We estimated the potential population-level traffic-crash mortality burden of such under-recognised heat effects in the USA and Japan.</w:t>
      </w:r>
    </w:p>
    <w:p>
      <w:pPr>
        <w:spacing w:after="120" w:line="480" w:lineRule="auto"/>
      </w:pPr>
      <w:r>
        <w:rPr>
          <w:b/>
        </w:rPr>
        <w:t xml:space="preserve">Methods </w:t>
      </w:r>
      <w:r>
        <w:t>In this ecological time-series study we fitted quasi-Poisson distributed-lag models of the local seasonal temperature anomaly to state-day (USA) and prefecture-day (Japan) panels, adjusting for spatial, seasonal, long-term-trend and day-of-week terms. Data were the US Fatality Analysis Reporting System (2016-2022) and Japanese National Police Agency accident open data (2019-2024), linked to Global Historical Climatology Network-Daily (GHCN-Daily) temperature.</w:t>
      </w:r>
    </w:p>
    <w:p>
      <w:pPr>
        <w:spacing w:after="120" w:line="480" w:lineRule="auto"/>
      </w:pPr>
      <w:r>
        <w:rPr>
          <w:b/>
        </w:rPr>
        <w:t xml:space="preserve">Findings </w:t>
      </w:r>
      <w:r>
        <w:t>In the USA (270,497 crash deaths) a +9°C anomaly raised same-day crash mortality (rate ratio [RR] 1.165 (95% CI 1.134-1.196)), unchanged after adjusting for national driving activity (RR 1.162). The excess was larger for open-air road users (motorcyclists 2.141, pedestrians 1.213) than vehicle occupants (1.050). Net heat-attributable deaths were 513 per year (1.33%), similar to the 527 officially recorded direct-heat deaths per year (ICD-10 X30); +1 to +3°C warming projected 339-983 additional deaths per year. In Japan (11,576 deaths) the estimate was directionally similar but imprecise.</w:t>
      </w:r>
    </w:p>
    <w:p>
      <w:pPr>
        <w:spacing w:after="120" w:line="480" w:lineRule="auto"/>
      </w:pPr>
      <w:r>
        <w:rPr>
          <w:b/>
        </w:rPr>
        <w:t xml:space="preserve">Interpretation </w:t>
      </w:r>
      <w:r>
        <w:t>Unusually hot days are associated with an acute excess of US traffic-crash deaths comparable to all recorded direct-heat mortality, concentrated in heat-exposed road users and projected to grow with warming. They are consistent with an under-recognised heat contribution but cannot establish heat illness in any individual crash, and open-air gradients may partly reflect weather-related activity.</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Heat waves are becoming more frequent under climate change, and ambient heat is an established driver of mortality.</w:t>
      </w:r>
      <w:r>
        <w:rPr>
          <w:vertAlign w:val="superscript"/>
        </w:rPr>
        <w:t>1,2</w:t>
      </w:r>
      <w:r>
        <w:t xml:space="preserve"> Occupational and driving activity do not stop during heat, so some fatal accidents plausibly involve heat-related impairment or frank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w:t>
      </w:r>
    </w:p>
    <w:p>
      <w:pPr>
        <w:pStyle w:val="Heading1"/>
      </w:pPr>
      <w:r>
        <w:t>Methods</w:t>
      </w:r>
    </w:p>
    <w:p>
      <w:pPr>
        <w:spacing w:after="40" w:line="480" w:lineRule="auto"/>
      </w:pPr>
      <w:r>
        <w:t>We built daily panels of traffic-crash deaths by US state (FARS, 2016-2022)</w:t>
      </w:r>
      <w:r>
        <w:rPr>
          <w:vertAlign w:val="superscript"/>
        </w:rPr>
        <w:t>3</w:t>
      </w:r>
      <w:r>
        <w:t xml:space="preserve"> and by Japanese prefecture (NPA accident open data, 2019-2024).</w:t>
      </w:r>
      <w:r>
        <w:rPr>
          <w:vertAlign w:val="superscript"/>
        </w:rPr>
        <w:t>4</w:t>
      </w:r>
      <w:r>
        <w:t xml:space="preserve"> Daily mean temperature was taken from GHCN-Daily stations</w:t>
      </w:r>
      <w:r>
        <w:rPr>
          <w:vertAlign w:val="superscript"/>
        </w:rPr>
        <w:t>5</w:t>
      </w:r>
      <w:r>
        <w:t xml:space="preserve"> as the mean of TMAX and TMIN, aggregated to each spatial unit from its nearest reporting stations.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6</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Overdispersion was handled with a quasi-Poisson dispersion parameter. Net heat-attributable deaths were computed by the method of Gasparrini and Leone</w:t>
      </w:r>
      <w:r>
        <w:rPr>
          <w:vertAlign w:val="superscript"/>
        </w:rPr>
        <w:t>7</w:t>
      </w:r>
      <w:r>
        <w:t xml:space="preserve"> with Monte Carlo (MC) confidence intervals (CIs). As a sensitivity analysis for the US we added national vehicle-miles travelled (VMT)</w:t>
      </w:r>
      <w:r>
        <w:rPr>
          <w:vertAlign w:val="superscript"/>
        </w:rPr>
        <w:t>8</w:t>
      </w:r>
      <w:r>
        <w:t xml:space="preserve"> and finished-motor-gasoline product supplied</w:t>
      </w:r>
      <w:r>
        <w:rPr>
          <w:vertAlign w:val="superscript"/>
        </w:rPr>
        <w:t>9</w:t>
      </w:r>
      <w:r>
        <w:t xml:space="preserve"> as activity proxies. Officially recorded direct-heat deaths (International Classification of Diseases, 10th revision [ICD-10] code X30) were obtained from CDC WONDER.</w:t>
      </w:r>
      <w:r>
        <w:rPr>
          <w:vertAlign w:val="superscript"/>
        </w:rPr>
        <w:t>10</w:t>
      </w:r>
      <w:r>
        <w:t xml:space="preserve"> In three further US analyses we (i) refitted the same-day model within crash-hour bands to test whether the excess concentrates in the hottest hours; (ii) refitted it by road-user type (vehicle occupant, motorcyclist, pedestrian, cyclist) and age band from FARS person records, as a mechanistic and vulnerability analysis; and (iii) projected the additional crash deaths implied by uniform warming of the daily temperature distribution (+1, +2, +3 C), holding activity and baseline rates constant. All data are public and the full pipeline is reproducible from source (see Data sharing). Reporting follows the Strengthening the Reporting of Observational Studies in Epidemiology (STROBE) guideline (checklist provided).</w:t>
      </w:r>
    </w:p>
    <w:p>
      <w:pPr>
        <w:pStyle w:val="Heading1"/>
      </w:pPr>
      <w:r>
        <w:t>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raised same-day crash deaths (RR 1.165 (95% CI 1.134-1.196)), with a cumulative lag 0-10 RR of 1.074 (95% CI 1.015-1.137).</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mortality displacement (harvesting) rather than pure addition of deaths (Fig. 3; Table 2). The same-day association was essentially unchanged after adjusting for national vehicle-miles travelled and gasoline supplied (RR 1.162, 95% CI 1.132-1.193), indicating that day-to-day driving volume does not explain the effect.</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mortality displacement.</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(1.016-1.085)) but larger for open-air users—motorcyclists (RR 2.141 (2.000-2.292)), pedestrians (RR 1.213 (1.145-1.286)) and cyclists (RR 1.237 (1.032-1.484))—a gradient consistent with direct bodily heat exposure and physical exertion,</w:t>
      </w:r>
      <w:r>
        <w:rPr>
          <w:vertAlign w:val="superscript"/>
        </w:rPr>
        <w:t>11</w:t>
      </w:r>
      <w:r>
        <w:t xml:space="preserve"> though it could also partly reflect greater discretionary open-air travel (motorcycling, cycling, walking) on hotter-than-normal days, which our aggregate activity proxies do not capture by mode. Across age bands the excess was of similar size (age &lt;25 y RR 1.123 (1.059-1.191); 25-64 y RR 1.177 (1.140-1.216); 65+ y RR 1.167 (1.104-1.234); Table 3), giving no clear age gradient.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road-user, age and time-of-day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w:t>
      </w:r>
    </w:p>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all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w:t>
      </w:r>
    </w:p>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12</w:t>
      </w:r>
      <w:r>
        <w:t xml:space="preserve"> A uniform +1 C shift projected 339 additional US crash deaths per year (95% CI 250-428), rising to 983 (644-1356)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spacing w:after="120" w:line="480" w:lineRule="auto"/>
      </w:pPr>
      <w:r>
        <w:t>In Japan (11,576 crash deaths over 6 years) the anomaly exposure-response was imprecise, with a wide confidence band that included the null throughout (Fig. 9); the same-day point estimate for a +9 C anomaly was 0.940 (95% CI 0.743-1.190) and was not stable across specifications. Directly comparing the two countries (Fig. 10), the US shows a precise acute effect whereas the Japanese panel, with roughly fifteen times fewer annual crash deaths and sparser temperature coverage, is underpowered.</w:t>
      </w:r>
    </w:p>
    <w:p/>
    <w:p>
      <w:pPr>
        <w:jc w:val="center"/>
      </w:pPr>
      <w:r>
        <w:drawing>
          <wp:inline xmlns:a="http://schemas.openxmlformats.org/drawingml/2006/main" xmlns:pic="http://schemas.openxmlformats.org/drawingml/2006/picture">
            <wp:extent cx="5120640" cy="3660652"/>
            <wp:docPr id="9" name="Picture 9"/>
            <wp:cNvGraphicFramePr>
              <a:graphicFrameLocks noChangeAspect="1"/>
            </wp:cNvGraphicFramePr>
            <a:graphic>
              <a:graphicData uri="http://schemas.openxmlformats.org/drawingml/2006/picture">
                <pic:pic>
                  <pic:nvPicPr>
                    <pic:cNvPr id="0" name="jp_fig2_anomaly_exposure_response.png"/>
                    <pic:cNvPicPr/>
                  </pic:nvPicPr>
                  <pic:blipFill>
                    <a:blip r:embed="rId17"/>
                    <a:stretch>
                      <a:fillRect/>
                    </a:stretch>
                  </pic:blipFill>
                  <pic:spPr>
                    <a:xfrm>
                      <a:off x="0" y="0"/>
                      <a:ext cx="5120640" cy="3660652"/>
                    </a:xfrm>
                    <a:prstGeom prst="rect"/>
                  </pic:spPr>
                </pic:pic>
              </a:graphicData>
            </a:graphic>
          </wp:inline>
        </w:drawing>
      </w:r>
    </w:p>
    <w:p>
      <w:pPr>
        <w:spacing w:before="280"/>
      </w:pPr>
      <w:r>
        <w:rPr>
          <w:b/>
        </w:rPr>
        <w:t xml:space="preserve">Figure 9. </w:t>
      </w:r>
      <w:r>
        <w:t>Japan temperature-anomaly exposure-response (2019-2024). The estimate is imprecise: the confidence band is wide and includes the null throughout.</w:t>
      </w:r>
    </w:p>
    <w:p/>
    <w:p/>
    <w:p>
      <w:pPr>
        <w:jc w:val="center"/>
      </w:pPr>
      <w:r>
        <w:drawing>
          <wp:inline xmlns:a="http://schemas.openxmlformats.org/drawingml/2006/main" xmlns:pic="http://schemas.openxmlformats.org/drawingml/2006/picture">
            <wp:extent cx="5120640" cy="3761953"/>
            <wp:docPr id="10" name="Picture 10"/>
            <wp:cNvGraphicFramePr>
              <a:graphicFrameLocks noChangeAspect="1"/>
            </wp:cNvGraphicFramePr>
            <a:graphic>
              <a:graphicData uri="http://schemas.openxmlformats.org/drawingml/2006/picture">
                <pic:pic>
                  <pic:nvPicPr>
                    <pic:cNvPr id="0" name="cross_fig_us_vs_japan_sameday.png"/>
                    <pic:cNvPicPr/>
                  </pic:nvPicPr>
                  <pic:blipFill>
                    <a:blip r:embed="rId18"/>
                    <a:stretch>
                      <a:fillRect/>
                    </a:stretch>
                  </pic:blipFill>
                  <pic:spPr>
                    <a:xfrm>
                      <a:off x="0" y="0"/>
                      <a:ext cx="5120640" cy="3761953"/>
                    </a:xfrm>
                    <a:prstGeom prst="rect"/>
                  </pic:spPr>
                </pic:pic>
              </a:graphicData>
            </a:graphic>
          </wp:inline>
        </w:drawing>
      </w:r>
    </w:p>
    <w:p>
      <w:pPr>
        <w:spacing w:before="280"/>
      </w:pPr>
      <w:r>
        <w:rPr>
          <w:b/>
        </w:rPr>
        <w:t xml:space="preserve">Figure 10. </w:t>
      </w:r>
      <w:r>
        <w:t>Same-day rate ratio of traffic-crash deaths for a +9 C anomaly, United States versus Japan. The US shows a precise acute effect; the Japanese estimate is underpowered.</w:t>
      </w:r>
    </w:p>
    <w:p/>
    <w:p>
      <w:pPr>
        <w:pStyle w:val="Heading1"/>
      </w:pPr>
      <w:r>
        <w:t>Discussion</w:t>
      </w:r>
    </w:p>
    <w:p>
      <w:pPr>
        <w:spacing w:after="120" w:line="480" w:lineRule="auto"/>
      </w:pPr>
      <w:r>
        <w:t>Days hotter than the local seasonal norm are associated with an acute, same-day excess of US traffic-crash deaths that is not explained by aggregate driving activity and is comparable in magnitude to all officially recorded direct-heat mortality. This is consistent with the hypothesis that heat-related impairment and under-recognised heat illness contribute to road deaths without appearing in cause-of-death data. The 1-3 day deficit indicates that part of the acute excess reflects short-term displacement, so the net annual burden is smaller than the same-day spike alone would imply.</w:t>
      </w:r>
    </w:p>
    <w:p>
      <w:pPr>
        <w:spacing w:after="120" w:line="480" w:lineRule="auto"/>
      </w:pPr>
      <w:r>
        <w:t>Two features of the data point towards a direct heat effect rather than confounding by overall driving volume. The excess was graded by bodily heat exposure—minimal for enclosed, frequently air-conditioned vehicle occupants but several-fold larger for motorcyclists, pedestrians and cyclists, who are directly exposed and often physically exerting—and it was largest in the hottest hours of the day. Both are what one would expect if heat degrades psychomotor and cognitive performance. These gradients are not proof of mechanism, however: open-air travel is itself weather-elastic,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invisible to heat-mortality surveillance.</w:t>
      </w:r>
    </w:p>
    <w:p>
      <w:pPr>
        <w:spacing w:after="120" w:line="480" w:lineRule="auto"/>
      </w:pPr>
      <w:r>
        <w:t>Several limitations apply. First, this is an ecological, population-level association: it cannot establish that heat caused illness in any specific crash, and FARS and NPA carry no post-mortem heat diagnosis. Second, activity adjustment used national, not daily state-level, proxies. Third, exposure is measured at the spatial-unit level and misclassifies individual exposure. Fourth, the Japanese analysis is underpowered and inconclusive; its shorter series, far smaller death counts and sparser GHCN-Daily coverage preclude a firm estimate, and we therefore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Finally, inference rests on a quasi-Poisson dispersion adjustment; residual serial correlation could still understate uncertainty. These results motivate, but do not substitute for, individual-level studies linking crash decedents to ambient heat and, where available, post-mortem findings.</w:t>
      </w:r>
    </w:p>
    <w:p>
      <w:pPr>
        <w:pStyle w:val="Heading1"/>
      </w:pPr>
      <w:r>
        <w:t>Conclusion</w:t>
      </w:r>
    </w:p>
    <w:p>
      <w:pPr>
        <w:spacing w:after="120" w:line="480" w:lineRule="auto"/>
      </w:pPr>
      <w:r>
        <w:t>Unusually hot days raise US traffic-crash mortality acutely, by an amount similar to all recorded direct-heat deaths, supporting the plausibility of an under-recognised heat contribution to road deaths. The Japanese data are consistent in direction on some specifications but too sparse for a firm conclusion.</w:t>
      </w:r>
    </w:p>
    <w:p>
      <w:pPr>
        <w:pStyle w:val="Heading1"/>
      </w:pPr>
      <w:r>
        <w:t>Contributors</w:t>
      </w:r>
    </w:p>
    <w:p>
      <w:pPr>
        <w:spacing w:after="120" w:line="480" w:lineRule="auto"/>
      </w:pPr>
      <w:r>
        <w:t>[PLACEHOLDER — replace before submission.] All authors contributed to the study design, data analysis, interpretation and drafting, and approved the final manuscript. [Specify each author's contribution and who verified the underlying data.]</w:t>
      </w:r>
    </w:p>
    <w:p>
      <w:pPr>
        <w:pStyle w:val="Heading1"/>
      </w:pPr>
      <w:r>
        <w:t>Declaration of interests</w:t>
      </w:r>
    </w:p>
    <w:p>
      <w:pPr>
        <w:spacing w:after="120" w:line="480" w:lineRule="auto"/>
      </w:pPr>
      <w:r>
        <w:t>[PLACEHOLDER — replace before submission.] We declare no competing interests.</w:t>
      </w:r>
    </w:p>
    <w:p>
      <w:pPr>
        <w:pStyle w:val="Heading1"/>
      </w:pPr>
      <w:r>
        <w:t>Role of the funding source</w:t>
      </w:r>
    </w:p>
    <w:p>
      <w:pPr>
        <w:spacing w:after="120" w:line="480" w:lineRule="auto"/>
      </w:pPr>
      <w:r>
        <w:t>[PLACEHOLDER — replace before submission.] There was no specific funding for this study. The corresponding author had full access to all the data and had final responsibility for the decision to submit for publication.</w:t>
      </w:r>
    </w:p>
    <w:p>
      <w:pPr>
        <w:pStyle w:val="Heading1"/>
      </w:pPr>
      <w:r>
        <w:t>Use of generative AI</w:t>
      </w:r>
    </w:p>
    <w:p>
      <w:pPr>
        <w:spacing w:after="120" w:line="480" w:lineRule="auto"/>
      </w:pPr>
      <w:r>
        <w:t>[PLACEHOLDER — confirm and adapt before submission.] Generative AI assistance was used to help develop analysis code and draft text; all methods, results and interpretations were verified by the authors, who take full responsibility for the content.</w:t>
      </w:r>
    </w:p>
    <w:p>
      <w:pPr>
        <w:pStyle w:val="Heading1"/>
      </w:pPr>
      <w:r>
        <w:t>Data sharing</w:t>
      </w:r>
    </w:p>
    <w:p>
      <w:pPr>
        <w:spacing w:after="120" w:line="480" w:lineRule="auto"/>
      </w:pPr>
      <w:r>
        <w:t>All data are public: FARS, GHCN-Daily, CDC WONDER, FHWA/FRED, EIA and the Japanese NPA accident open data (see References for sources). The complete analysis code and one-command reproduction pipeline (make all) are openly available in the project repository;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National Highway Traffic Safety Administration. Fatality Analysis Reporting System (FARS). US Department of Transportation. https://www.nhtsa.gov/research-data/fatality-analysis-reporting-system-fars</w:t>
      </w:r>
    </w:p>
    <w:p>
      <w:pPr>
        <w:spacing w:after="80"/>
      </w:pPr>
      <w:r>
        <w:t>4. National Police Agency of Japan. Traffic accident statistics open data. https://www.npa.go.jp/publications/statistics/koutsuu/opendata/</w:t>
      </w:r>
    </w:p>
    <w:p>
      <w:pPr>
        <w:spacing w:after="80"/>
      </w:pPr>
      <w:r>
        <w:t>5. Menne MJ, Durre I, Vose RS, Gleason BE, Houston TG. An overview of the Global Historical Climatology Network-Daily database. J Atmos Ocean Technol 2012;29:897-910.</w:t>
      </w:r>
    </w:p>
    <w:p>
      <w:pPr>
        <w:spacing w:after="80"/>
      </w:pPr>
      <w:r>
        <w:t>6. Gasparrini A, Armstrong B, Kenward MG. Distributed lag non-linear models. Stat Med 2010;29:2224-34.</w:t>
      </w:r>
    </w:p>
    <w:p>
      <w:pPr>
        <w:spacing w:after="80"/>
      </w:pPr>
      <w:r>
        <w:t>7. Gasparrini A, Leone M. Attributable risk from distributed lag models. BMC Med Res Methodol 2014;14:55.</w:t>
      </w:r>
    </w:p>
    <w:p>
      <w:pPr>
        <w:spacing w:after="80"/>
      </w:pPr>
      <w:r>
        <w:t>8. Federal Highway Administration. Traffic Volume Trends. https://www.fhwa.dot.gov/policyinformation/travel_monitoring/tvt.cfm</w:t>
      </w:r>
    </w:p>
    <w:p>
      <w:pPr>
        <w:spacing w:after="80"/>
      </w:pPr>
      <w:r>
        <w:t>9. US Energy Information Administration. Weekly finished motor gasoline product supplied (PET.WGFUPUS2.W). https://www.eia.gov/</w:t>
      </w:r>
    </w:p>
    <w:p>
      <w:pPr>
        <w:spacing w:after="80"/>
      </w:pPr>
      <w:r>
        <w:t>10. Centers for Disease Control and Prevention. CDC WONDER Underlying Cause of Death database. https://wonder.cdc.gov/</w:t>
      </w:r>
    </w:p>
    <w:p>
      <w:pPr>
        <w:spacing w:after="80"/>
      </w:pPr>
      <w:r>
        <w:t>11. Daanen HAM, van de Vliert E, Huang X. Driving performance in cold, warm, and thermoneutral environments. Appl Ergon 2003;34:597-602.</w:t>
      </w:r>
    </w:p>
    <w:p>
      <w:pPr>
        <w:spacing w:after="80"/>
      </w:pPr>
      <w:r>
        <w:t>12.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