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allocation: a transparent decision-analytics framework for evaluating healthcare workforce policy levers</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global healthcare workforce-allocation problem, and many health systems assume that malpractice-litigation risk pushes physicians away from high-risk specialties. We used this question as a test case for a transparent, reproducible decision-analytics and operations-research framework that evaluates a proposed workforce policy lever while avoiding size confounding and interpolation artifacts in sparse administrative panels. Using national primary data for 12 specialties in Japan (2008–2024), we measured exposure as closed malpractice claims per 1,000 physicians (rate, not count) and regressed biennial log-change in physicians and hospitals on the lagged litigation rate in a panel with specialty and wave fixed effects, cluster-robust standard errors with a small-cluster t(G-1) correction, a cluster block-bootstrap robustness check, two one-sided equivalence (TOST) tests, and power diagnostics.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less than ±2% was p=&lt;0.001); the minimum detectable effect was 1.08% per SD at 80% power. Hospital growth was within ±2% (p=0.002) but not the stricter ±1% margin (p=0.059). Sensitivity analyses were unchanged. Specialty-level litigation risk is not associated with workforce decline in these national data. The decision-analytics and operations-research framework is exportable to other healthcare workforce-policy levers.</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healthcare decision analytics; operations research</w:t>
      </w:r>
    </w:p>
    <w:p>
      <w:pPr>
        <w:pStyle w:val="Heading1"/>
      </w:pPr>
      <w:r>
        <w:rPr>
          <w:rFonts w:ascii="Times New Roman" w:hAnsi="Times New Roman"/>
          <w:color w:val="000000"/>
        </w:rPr>
        <w:t>1. Introduction</w:t>
      </w:r>
    </w:p>
    <w:p>
      <w:pPr>
        <w:spacing w:line="480" w:lineRule="auto" w:after="120"/>
      </w:pPr>
      <w:r>
        <w:rPr>
          <w:rFonts w:ascii="Times New Roman" w:hAnsi="Times New Roman"/>
          <w:b w:val="0"/>
          <w:i w:val="0"/>
          <w:sz w:val="24"/>
        </w:rPr>
        <w:t>Specialty maldistribution is a global healthcare workforce allocation challenge: high-acuity fields such as surgery, obstetrics and gynaecology, paediatrics and emergency care are widely perceived as understaffed across many health systems.</w:t>
      </w:r>
      <w:r>
        <w:rPr>
          <w:rFonts w:ascii="Times New Roman" w:hAnsi="Times New Roman"/>
          <w:vertAlign w:val="superscript"/>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vertAlign w:val="superscript"/>
        </w:rPr>
        <w:t>[2-3]</w:t>
      </w:r>
      <w:r>
        <w:rPr>
          <w:rFonts w:ascii="Times New Roman" w:hAnsi="Times New Roman"/>
          <w:b w:val="0"/>
          <w:i w:val="0"/>
          <w:sz w:val="24"/>
        </w:rPr>
        <w:t xml:space="preserve"> If true, reducing litigation exposure would be a lever against maldistribution. Japan provides a well-documented national setting in which to test this intuition: it tracks closed malpractice claims, physician counts and hospital counts by specialty, and it faces the same fee-for-service and specialty-training pressures seen in other high-income countries.</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From a decision-analytics perspective, the relevant question is not whether litigation risk is correlated with raw counts, but whether it is a policy lever that workforce planners can use to shift specialty supply. We therefore treat the litigation-workforce question as a test case for a transparent, reproducible decision-analytics and operations-research framework for healthcare workforce allocation and resource planning. This is, to our knowledge, the first application of pre-specified equivalence testing and small-cluster inference diagnostics to the malpractice-litigation workforce literature.</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vertAlign w:val="superscript"/>
        </w:rPr>
        <w:t>[6]</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w:t>
      </w:r>
      <w:r>
        <w:rPr>
          <w:rFonts w:ascii="Times New Roman" w:hAnsi="Times New Roman"/>
          <w:vertAlign w:val="superscript"/>
        </w:rPr>
        <w:t>[7]</w:t>
      </w:r>
      <w:r>
        <w:rPr>
          <w:rFonts w:ascii="Times New Roman" w:hAnsi="Times New Roman"/>
          <w:b w:val="0"/>
          <w:i w:val="0"/>
          <w:sz w:val="24"/>
        </w:rPr>
        <w:t xml:space="preserve"> We studied 12 core clinical specialties in Japan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vertAlign w:val="superscript"/>
        </w:rPr>
        <w:t>[8]</w:t>
      </w:r>
      <w:r>
        <w:rPr>
          <w:rFonts w:ascii="Times New Roman" w:hAnsi="Times New Roman"/>
          <w:b w:val="0"/>
          <w:i w:val="0"/>
          <w:sz w:val="24"/>
        </w:rPr>
        <w:t>; closed malpractice claims by specialty from the Supreme Court of Japan</w:t>
      </w:r>
      <w:r>
        <w:rPr>
          <w:rFonts w:ascii="Times New Roman" w:hAnsi="Times New Roman"/>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vertAlign w:val="superscript"/>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vertAlign w:val="superscript"/>
        </w:rPr>
        <w:t>[11]</w:t>
      </w:r>
      <w:r>
        <w:rPr>
          <w:rFonts w:ascii="Times New Roman" w:hAnsi="Times New Roman"/>
          <w:b w:val="0"/>
          <w:i w:val="0"/>
          <w:sz w:val="24"/>
        </w:rPr>
        <w:t xml:space="preserve"> and total national newspaper article counts from Nikkei Telecom 21 (2004-2018; the sensitivity analysis uses 2009-2018; keywords: medical error + medical malpractice).</w:t>
      </w:r>
      <w:r>
        <w:rPr>
          <w:rFonts w:ascii="Times New Roman" w:hAnsi="Times New Roman"/>
          <w:vertAlign w:val="superscript"/>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 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vertAlign w:val="superscript"/>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vertAlign w:val="superscript"/>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2.2. Statistical analysis</w:t>
      </w:r>
    </w:p>
    <w:p>
      <w:pPr>
        <w:spacing w:line="480" w:lineRule="auto" w:after="120"/>
      </w:pPr>
      <w:r>
        <w:rPr>
          <w:rFonts w:ascii="Times New Roman" w:hAnsi="Times New Roman"/>
          <w:b w:val="0"/>
          <w:i w:val="0"/>
          <w:sz w:val="24"/>
        </w:rPr>
        <w:t>We formalised the evaluation as a sensitivity-analysis framework that varies the exposure definition (counts versus rates), panel frequency (measured biennial waves versus interpolated annual values), and potential confounders (JMSR reports, media coverage, JOCS-CP period) while holding the specialty-level panel structure constant.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vertAlign w:val="superscript"/>
        </w:rPr>
        <w:t>[14]</w:t>
      </w:r>
      <w:r>
        <w:rPr>
          <w:rFonts w:ascii="Times New Roman" w:hAnsi="Times New Roman"/>
          <w:b w:val="0"/>
          <w:i w:val="0"/>
          <w:sz w:val="24"/>
        </w:rPr>
        <w:t xml:space="preserve"> Clusters are defined by specialty, so G=12 and the small-cluster correction uses a t-distribution with G-1 degrees of freedom for all cluster-robust inference. Supplementary Figure 1 summarises the sensitivity-analysis framework.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vertAlign w:val="superscript"/>
        </w:rPr>
        <w:t>[4-5]</w:t>
      </w:r>
      <w:r>
        <w:rPr>
          <w:rFonts w:ascii="Times New Roman" w:hAnsi="Times New Roman"/>
          <w:b w:val="0"/>
          <w:i w:val="0"/>
          <w:sz w:val="24"/>
        </w:rPr>
        <w:t xml:space="preserve"> For a pre-specified margin m, the two one-sided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alpha. We used margins of 1% and 2% biennial workforce change because they are smaller than typical policy targets for specialty workforce rebalancing and represent changes that workforce planners would consider substantively small.</w:t>
      </w:r>
    </w:p>
    <w:p>
      <w:pPr>
        <w:spacing w:line="480" w:lineRule="auto" w:after="120"/>
      </w:pPr>
      <w:r>
        <w:rPr>
          <w:rFonts w:ascii="Times New Roman" w:hAnsi="Times New Roman"/>
          <w:b w:val="0"/>
          <w:i w:val="0"/>
          <w:sz w:val="24"/>
        </w:rPr>
        <w:t>We complemented the analytical small-cluster inference with two diagnostic quantities. First, a cluster block-bootstrap with B = 1,999 replications resampled specialties with replacement, re-fitted the primary model, and reported percentile bootstrap 95% confidence intervals and a bootstrap p-value based on the distribution of absolute t-statistics. Second, we report the minimum detectable effect (MDE) at 80% power for the per-SD litigation-rate coefficient and the power to declare equivalence when the true effect is zero. The MDE is (t(0.975, df) + t(0.80, df)) × SE; the equivalence power is 2·F_t(m/SE) − 1, where F_t is the cumulative distribution of the t(df) distribution. These diagnostics make the limited-panel information explicit to workforce planners evaluating this policy lever.</w:t>
      </w:r>
    </w:p>
    <w:p>
      <w:pPr>
        <w:pStyle w:val="Heading2"/>
      </w:pPr>
      <w:r>
        <w:rPr>
          <w:rFonts w:ascii="Times New Roman" w:hAnsi="Times New Roman"/>
          <w:color w:val="000000"/>
        </w:rPr>
        <w:t>2.3. Policy lever simulation</w:t>
      </w:r>
    </w:p>
    <w:p>
      <w:pPr>
        <w:spacing w:line="480" w:lineRule="auto" w:after="120"/>
      </w:pPr>
      <w:r>
        <w:rPr>
          <w:rFonts w:ascii="Times New Roman" w:hAnsi="Times New Roman"/>
          <w:b w:val="0"/>
          <w:i w:val="0"/>
          <w:sz w:val="24"/>
        </w:rPr>
        <w:t>To translate the regression results into a decision-analytics and operations-research output,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reported confidence intervals and two-sided p-values use a t-distribution with G-1 = 11 degrees of freedom, the small-cluster correction recommended by Cameron and Miller.</w:t>
      </w:r>
      <w:r>
        <w:rPr>
          <w:rFonts w:ascii="Times New Roman" w:hAnsi="Times New Roman"/>
          <w:vertAlign w:val="superscript"/>
        </w:rPr>
        <w:t>[15]</w:t>
      </w:r>
      <w:r>
        <w:rPr>
          <w:rFonts w:ascii="Times New Roman" w:hAnsi="Times New Roman"/>
          <w:b w:val="0"/>
          <w:i w:val="0"/>
          <w:sz w:val="24"/>
        </w:rPr>
        <w:t xml:space="preserve"> An indicator for obstetrics and gynaecology from 2009 onward captured the JOCS-CP period.</w:t>
      </w:r>
      <w:r>
        <w:rPr>
          <w:rFonts w:ascii="Times New Roman" w:hAnsi="Times New Roman"/>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Analyses used Python (statsmodels); code and data are openly available at https://github.com/bougtoir/medical-accident-its-analysis.</w:t>
      </w:r>
    </w:p>
    <w:p>
      <w:pPr>
        <w:pStyle w:val="Heading1"/>
      </w:pPr>
      <w:r>
        <w:rPr>
          <w:rFonts w:ascii="Times New Roman" w:hAnsi="Times New Roman"/>
          <w:color w:val="000000"/>
        </w:rPr>
        <w:t>3. Results</w:t>
      </w:r>
    </w:p>
    <w:p>
      <w:pPr>
        <w:pStyle w:val="Heading2"/>
      </w:pPr>
      <w:r>
        <w:rPr>
          <w:rFonts w:ascii="Times New Roman" w:hAnsi="Times New Roman"/>
          <w:color w:val="000000"/>
        </w:rPr>
        <w:t>3.1. 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3.2. 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3.3. 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3.4. 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w:t>
      </w:r>
      <w:r>
        <w:rPr>
          <w:rFonts w:ascii="Times New Roman" w:hAnsi="Times New Roman"/>
          <w:vertAlign w:val="superscript"/>
        </w:rPr>
        <w:t>[13]</w:t>
      </w:r>
      <w:r>
        <w:rPr>
          <w:rFonts w:ascii="Times New Roman" w:hAnsi="Times New Roman"/>
          <w:b w:val="0"/>
          <w:i w:val="0"/>
          <w:sz w:val="24"/>
        </w:rPr>
        <w:t xml:space="preserve">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vertAlign w:val="superscript"/>
        </w:rPr>
        <w:t>[12]</w:t>
      </w:r>
      <w:r>
        <w:rPr>
          <w:rFonts w:ascii="Times New Roman" w:hAnsi="Times New Roman"/>
          <w:b w:val="0"/>
          <w:i w:val="0"/>
          <w:sz w:val="24"/>
        </w:rPr>
        <w:t xml:space="preserve">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3.5. Policy lever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pPr>
        <w:pStyle w:val="Heading1"/>
      </w:pPr>
      <w:r>
        <w:rPr>
          <w:rFonts w:ascii="Times New Roman" w:hAnsi="Times New Roman"/>
          <w:color w:val="000000"/>
        </w:rPr>
        <w:t>4. 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Several interpretations are consistent with this finding. First, litigation risk may affect clinical behaviour on the intensive margin (defensive medicine) rather than the extensive margin (specialty exit). Second, the closed-claim rate is an objective measure, but the perceived risk that drives career decisions may be shaped more by rare, salient criminal prosecutions and media coverage than by routine civil claims. Third, high-risk specialties in Japan also carry substantial fee-for-service returns, so income effects, switching costs and status-quo bias can offset any deterrent. Finally, the negative finding is informative in its own right: studies that reject a commonly assumed policy mechanism are under-represented in the literature, and a well-powered equivalence result reduces the risk that policy is directed at an ineffective lever.</w:t>
      </w:r>
      <w:r>
        <w:rPr>
          <w:rFonts w:ascii="Times New Roman" w:hAnsi="Times New Roman"/>
          <w:vertAlign w:val="superscript"/>
        </w:rPr>
        <w:t>[16-18]</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vertAlign w:val="superscript"/>
        </w:rPr>
        <w:t>[19]</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vertAlign w:val="superscript"/>
        </w:rPr>
        <w:t>[20]</w:t>
      </w:r>
      <w:r>
        <w:rPr>
          <w:rFonts w:ascii="Times New Roman" w:hAnsi="Times New Roman"/>
          <w:b w:val="0"/>
          <w:i w:val="0"/>
          <w:sz w:val="24"/>
        </w:rPr>
        <w:t xml:space="preserve"> Frakes and colleagues showed that negligence-standard reforms could shift the composition of the physician workforce toward surgery in some regions, yet the effect was localized and modest.</w:t>
      </w:r>
      <w:r>
        <w:rPr>
          <w:rFonts w:ascii="Times New Roman" w:hAnsi="Times New Roman"/>
          <w:vertAlign w:val="superscript"/>
        </w:rPr>
        <w:t>[21]</w:t>
      </w:r>
      <w:r>
        <w:rPr>
          <w:rFonts w:ascii="Times New Roman" w:hAnsi="Times New Roman"/>
          <w:b w:val="0"/>
          <w:i w:val="0"/>
          <w:sz w:val="24"/>
        </w:rPr>
        <w:t xml:space="preserve"> Against this backdrop, a null effect of civil litigation risk on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is unrelated to the number of physicians, it may shape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vertAlign w:val="superscript"/>
        </w:rPr>
        <w:t>[22]</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vertAlign w:val="superscript"/>
        </w:rPr>
        <w:t>[23]</w:t>
      </w:r>
      <w:r>
        <w:rPr>
          <w:rFonts w:ascii="Times New Roman" w:hAnsi="Times New Roman"/>
          <w:b w:val="0"/>
          <w:i w:val="0"/>
          <w:sz w:val="24"/>
        </w:rPr>
        <w:t xml:space="preserve">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This pattern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w:t>
      </w:r>
      <w:r>
        <w:rPr>
          <w:rFonts w:ascii="Times New Roman" w:hAnsi="Times New Roman"/>
          <w:vertAlign w:val="superscript"/>
        </w:rPr>
        <w:t>[16-17]</w:t>
      </w:r>
      <w:r>
        <w:rPr>
          <w:rFonts w:ascii="Times New Roman" w:hAnsi="Times New Roman"/>
          <w:b w:val="0"/>
          <w:i w:val="0"/>
          <w:sz w:val="24"/>
        </w:rPr>
        <w:t xml:space="preserve"> Yet the actual decision to leave a specialty is governed by expected income, sunk training costs, switching costs and status-quo bias, all of which discourage exit even when perceived risk is high.</w:t>
      </w:r>
      <w:r>
        <w:rPr>
          <w:rFonts w:ascii="Times New Roman" w:hAnsi="Times New Roman"/>
          <w:vertAlign w:val="superscript"/>
        </w:rPr>
        <w:t>[18]</w:t>
      </w:r>
      <w:r>
        <w:rPr>
          <w:rFonts w:ascii="Times New Roman" w:hAnsi="Times New Roman"/>
          <w:b w:val="0"/>
          <w:i w:val="0"/>
          <w:sz w:val="24"/>
        </w:rPr>
        <w:t xml:space="preserve"> The discrepancy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vertAlign w:val="superscript"/>
        </w:rPr>
        <w:t>[24]</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vertAlign w:val="superscript"/>
        </w:rPr>
        <w:t>[25]</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w:t>
      </w:r>
      <w:r>
        <w:rPr>
          <w:rFonts w:ascii="Times New Roman" w:hAnsi="Times New Roman"/>
          <w:vertAlign w:val="superscript"/>
        </w:rPr>
        <w:t>[26]</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vertAlign w:val="superscript"/>
        </w:rPr>
        <w:t>[27]</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vertAlign w:val="superscript"/>
        </w:rPr>
        <w:t>[28]</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vertAlign w:val="superscript"/>
        </w:rPr>
        <w:t>[29]</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vertAlign w:val="superscript"/>
        </w:rPr>
        <w:t>[30]</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vertAlign w:val="superscript"/>
        </w:rPr>
        <w:t>[31]</w:t>
      </w:r>
      <w:r>
        <w:rPr>
          <w:rFonts w:ascii="Times New Roman" w:hAnsi="Times New Roman"/>
          <w:b w:val="0"/>
          <w:i w:val="0"/>
          <w:sz w:val="24"/>
        </w:rPr>
        <w:t xml:space="preserve"> Applying similar logic in the same national setting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in these data, is no—or at least not in a way that is detectable or policy-relevant across 9 measured waves (2008–2024).</w:t>
      </w:r>
    </w:p>
    <w:p>
      <w:pPr>
        <w:spacing w:line="480" w:lineRule="auto" w:after="120"/>
      </w:pPr>
      <w:r>
        <w:rPr>
          <w:rFonts w:ascii="Times New Roman" w:hAnsi="Times New Roman"/>
          <w:b w:val="0"/>
          <w:i w:val="0"/>
          <w:sz w:val="24"/>
        </w:rPr>
        <w:t>The framework we used is intentionally general and falls within healthcare operations research and decision analytics. Specialty physician workforce allocation is a recurring healthcare decision problem, and the same sensitivity-analysis steps—rate adjustment to remove size confounding, measured-only panels to avoid interpolation, equivalence testing with policy-relevant margins, and small-cluster inference—can be applied to other proposed levers, such as fee schedules, regional quotas, or training subsidies. The analytic contribution is therefore not the malpractice finding itself but a transparent, reproducible decision-support workflow that helps planners distinguish meaningful workforce effects from spurious count- or interpolation-based associations.</w:t>
      </w:r>
    </w:p>
    <w:p>
      <w:pPr>
        <w:pStyle w:val="Heading2"/>
      </w:pPr>
      <w:r>
        <w:rPr>
          <w:rFonts w:ascii="Times New Roman" w:hAnsi="Times New Roman"/>
          <w:color w:val="000000"/>
        </w:rPr>
        <w:t>4.1. Limitations</w:t>
      </w:r>
    </w:p>
    <w:p>
      <w:pPr>
        <w:spacing w:line="480" w:lineRule="auto" w:after="120"/>
      </w:pPr>
      <w:r>
        <w:rPr>
          <w:rFonts w:ascii="Times New Roman" w:hAnsi="Times New Roman"/>
          <w:b w:val="0"/>
          <w:i w:val="0"/>
          <w:sz w:val="24"/>
        </w:rPr>
        <w:t>This is an ecological, specialty-level analysis and cannot establish individual-level causality.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vertAlign w:val="superscript"/>
        </w:rPr>
        <w:t>[9]</w:t>
      </w:r>
      <w:r>
        <w:rPr>
          <w:rFonts w:ascii="Times New Roman" w:hAnsi="Times New Roman"/>
          <w:b w:val="0"/>
          <w:i w:val="0"/>
          <w:sz w:val="24"/>
        </w:rPr>
        <w:t xml:space="preserve">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5. 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decision-analytics standpoint, malpractice litigation is not a reliable policy lever for correcting specialty maldistribution in this setting. Policymakers may more productively target structural incentives, especially no-fault compensation,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 (accessed 11 August 2026).</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 Available from: https://www.courts.go.jp/ (accessed 11 August 2026).</w:t>
      </w:r>
    </w:p>
    <w:p>
      <w:pPr>
        <w:spacing w:line="360" w:lineRule="auto"/>
      </w:pPr>
      <w:r>
        <w:rPr>
          <w:rFonts w:ascii="Times New Roman" w:hAnsi="Times New Roman"/>
          <w:sz w:val="20"/>
        </w:rPr>
        <w:t>10. Ministry of Health, Labour and Welfare. Survey of Medical Institutions (Dynamic). Tokyo: MHLW; 2024. Available from: https://www.mhlw.go.jp/english/database/db-hw/ (accessed 11 August 2026).</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Tversky A, Kahneman D. Availability: a heuristic for judging frequency and probability. Cogn Psychol. 1973;5(2):207-232.</w:t>
      </w:r>
    </w:p>
    <w:p>
      <w:pPr>
        <w:spacing w:line="360" w:lineRule="auto"/>
      </w:pPr>
      <w:r>
        <w:rPr>
          <w:rFonts w:ascii="Times New Roman" w:hAnsi="Times New Roman"/>
          <w:sz w:val="20"/>
        </w:rPr>
        <w:t>17. Kahneman D, Tversky A. Prospect theory: an analysis of decision under risk. Econometrica. 1979;47(2):263-291.</w:t>
      </w:r>
    </w:p>
    <w:p>
      <w:pPr>
        <w:spacing w:line="360" w:lineRule="auto"/>
      </w:pPr>
      <w:r>
        <w:rPr>
          <w:rFonts w:ascii="Times New Roman" w:hAnsi="Times New Roman"/>
          <w:sz w:val="20"/>
        </w:rPr>
        <w:t>18. Samuelson W, Zeckhauser R. Status quo bias in decision making. J Risk Uncertain. 1988;1(1):7-59.</w:t>
      </w:r>
    </w:p>
    <w:p>
      <w:pPr>
        <w:spacing w:line="360" w:lineRule="auto"/>
      </w:pPr>
      <w:r>
        <w:rPr>
          <w:rFonts w:ascii="Times New Roman" w:hAnsi="Times New Roman"/>
          <w:sz w:val="20"/>
        </w:rPr>
        <w:t>19. Matsa DA. Does malpractice liability keep the doctor away? Evidence from tort reform damage caps. J Legal Stud. 2007;36(S2):S143-S182.</w:t>
      </w:r>
    </w:p>
    <w:p>
      <w:pPr>
        <w:spacing w:line="360" w:lineRule="auto"/>
      </w:pPr>
      <w:r>
        <w:rPr>
          <w:rFonts w:ascii="Times New Roman" w:hAnsi="Times New Roman"/>
          <w:sz w:val="20"/>
        </w:rPr>
        <w:t>20. Hyman DA, Silver C, Black B, Paik M. Does tort reform affect physician supply? Evidence from Texas. Int Rev Law Econ. 2015;42:203-218.</w:t>
      </w:r>
    </w:p>
    <w:p>
      <w:pPr>
        <w:spacing w:line="360" w:lineRule="auto"/>
      </w:pPr>
      <w:r>
        <w:rPr>
          <w:rFonts w:ascii="Times New Roman" w:hAnsi="Times New Roman"/>
          <w:sz w:val="20"/>
        </w:rPr>
        <w:t>21. Frakes MD, Frank MB, Seabury SA. The effect of malpractice law on physician supply: Evidence from negligence-standard reforms. J Health Econ. 2020;70:1-16.</w:t>
      </w:r>
    </w:p>
    <w:p>
      <w:pPr>
        <w:spacing w:line="360" w:lineRule="auto"/>
      </w:pPr>
      <w:r>
        <w:rPr>
          <w:rFonts w:ascii="Times New Roman" w:hAnsi="Times New Roman"/>
          <w:sz w:val="20"/>
        </w:rPr>
        <w:t>22. Kessler DP, McClellan MB. Do doctors practice defensive medicine?. Q J Econ. 1996;111(2):353-390.</w:t>
      </w:r>
    </w:p>
    <w:p>
      <w:pPr>
        <w:spacing w:line="360" w:lineRule="auto"/>
      </w:pPr>
      <w:r>
        <w:rPr>
          <w:rFonts w:ascii="Times New Roman" w:hAnsi="Times New Roman"/>
          <w:sz w:val="20"/>
        </w:rPr>
        <w:t>23. Sloan FA, Shadle JH. Is there empirical evidence for "Defensive Medicine"? A reassessment. J Health Econ. 2008;27(2):481-491.</w:t>
      </w:r>
    </w:p>
    <w:p>
      <w:pPr>
        <w:spacing w:line="360" w:lineRule="auto"/>
      </w:pPr>
      <w:r>
        <w:rPr>
          <w:rFonts w:ascii="Times New Roman" w:hAnsi="Times New Roman"/>
          <w:sz w:val="20"/>
        </w:rPr>
        <w:t>24. Taniguchi K, Watari T, Nagoshi K. Characteristics and trends of medical malpractice claims in Japan between 2006 and 2021. PLoS One. 2023;18(12):e0296155.</w:t>
      </w:r>
    </w:p>
    <w:p>
      <w:pPr>
        <w:spacing w:line="360" w:lineRule="auto"/>
      </w:pPr>
      <w:r>
        <w:rPr>
          <w:rFonts w:ascii="Times New Roman" w:hAnsi="Times New Roman"/>
          <w:sz w:val="20"/>
        </w:rPr>
        <w:t>25.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26. Morita H. Criminal prosecution and physician supply. Int Rev Law Econ. 2018;55:1-11.</w:t>
      </w:r>
    </w:p>
    <w:p>
      <w:pPr>
        <w:spacing w:line="360" w:lineRule="auto"/>
      </w:pPr>
      <w:r>
        <w:rPr>
          <w:rFonts w:ascii="Times New Roman" w:hAnsi="Times New Roman"/>
          <w:sz w:val="20"/>
        </w:rPr>
        <w:t>27.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28.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29.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30.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31.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